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5" w:rsidRPr="005D66A6" w:rsidRDefault="00267B35" w:rsidP="00002E6D">
      <w:pPr>
        <w:spacing w:after="0" w:line="228" w:lineRule="auto"/>
        <w:jc w:val="center"/>
        <w:rPr>
          <w:rFonts w:ascii="PT Astra Serif" w:hAnsi="PT Astra Serif" w:cs="Times New Roman"/>
          <w:b/>
          <w:bCs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b/>
          <w:bCs/>
          <w:spacing w:val="-6"/>
          <w:sz w:val="28"/>
          <w:szCs w:val="28"/>
        </w:rPr>
        <w:t>Отчё</w:t>
      </w: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>т о выполнении мероприятий ведомственной программы «Противодействие коррупции в Министерстве развития конкуренции и экономики Ульяновской области</w:t>
      </w:r>
      <w:r w:rsidR="00235F0A"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>» на 2019-2021</w:t>
      </w: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 xml:space="preserve"> годы</w:t>
      </w:r>
    </w:p>
    <w:p w:rsidR="00267B35" w:rsidRPr="005D66A6" w:rsidRDefault="00267B35" w:rsidP="00002E6D">
      <w:pPr>
        <w:spacing w:after="0" w:line="228" w:lineRule="auto"/>
        <w:jc w:val="center"/>
        <w:rPr>
          <w:rFonts w:ascii="PT Astra Serif" w:hAnsi="PT Astra Serif" w:cs="Times New Roman"/>
          <w:b/>
          <w:bCs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 xml:space="preserve">за </w:t>
      </w:r>
      <w:r w:rsidR="008A5730"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>1 полугодие</w:t>
      </w:r>
      <w:r w:rsidR="00235F0A"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 xml:space="preserve"> 2019</w:t>
      </w: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 xml:space="preserve"> года</w:t>
      </w:r>
    </w:p>
    <w:p w:rsidR="00267B35" w:rsidRPr="005D66A6" w:rsidRDefault="00267B35" w:rsidP="00002E6D">
      <w:pPr>
        <w:spacing w:after="0" w:line="228" w:lineRule="auto"/>
        <w:ind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</w:p>
    <w:p w:rsidR="00267B35" w:rsidRPr="005D66A6" w:rsidRDefault="00267B35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В соответствии с ведомственной программой по противодействию коррупции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в Министерстве </w:t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цифровой экономики и конкуренции Ульяновской области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>на 2019-2021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годы, утверждённой приказом Министерства </w:t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развития конкуренции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>и экономики Ульяновской области от 28.12.2018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№ 01-</w:t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>563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, Министерством </w:t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цифровой экономики и конкуренции 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Ульяновской области в </w:t>
      </w:r>
      <w:r w:rsidR="00DD30AC" w:rsidRPr="005D66A6">
        <w:rPr>
          <w:rFonts w:ascii="PT Astra Serif" w:hAnsi="PT Astra Serif" w:cs="Times New Roman"/>
          <w:spacing w:val="-6"/>
          <w:sz w:val="27"/>
          <w:szCs w:val="27"/>
        </w:rPr>
        <w:t>1 полугодии</w:t>
      </w:r>
      <w:r w:rsidR="00235F0A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2019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года были проведены следующие мероприятия.</w:t>
      </w:r>
    </w:p>
    <w:p w:rsidR="00267B35" w:rsidRPr="005D66A6" w:rsidRDefault="00267B35" w:rsidP="00570A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>В сфере снижения коррупциогенности законодательства Ульяновской области.</w:t>
      </w:r>
    </w:p>
    <w:p w:rsidR="00267B35" w:rsidRPr="005D66A6" w:rsidRDefault="00267B35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t>правовых актов, разрабатываемых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Министерством. Так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="00F2586E" w:rsidRPr="005D66A6">
        <w:rPr>
          <w:rFonts w:ascii="PT Astra Serif" w:hAnsi="PT Astra Serif" w:cs="Times New Roman"/>
          <w:spacing w:val="-6"/>
          <w:sz w:val="27"/>
          <w:szCs w:val="27"/>
        </w:rPr>
        <w:t>за 1 полугодие</w:t>
      </w:r>
      <w:r w:rsidR="00534387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2019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года прошли антикоррупционную экспертизу:</w:t>
      </w:r>
    </w:p>
    <w:p w:rsidR="00267B35" w:rsidRPr="005D66A6" w:rsidRDefault="00C678CC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55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проект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ов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законов Ульяновской области и проектов постановлений Губернатора и Правительства Ульяновской области; </w:t>
      </w:r>
    </w:p>
    <w:p w:rsidR="00267B35" w:rsidRPr="005D66A6" w:rsidRDefault="00F2586E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135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проект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ов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приказов Министерства. </w:t>
      </w:r>
    </w:p>
    <w:p w:rsidR="00F2586E" w:rsidRPr="005D66A6" w:rsidRDefault="00F2586E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В 1 полугодии</w:t>
      </w:r>
      <w:r w:rsidR="00534387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2019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года поступило 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2 положительных заключения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по результатам независимо</w:t>
      </w:r>
      <w:r w:rsidR="00FB7A80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й антикоррупционной экспертизы 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>независимого эксперта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:</w:t>
      </w:r>
    </w:p>
    <w:p w:rsidR="00267B35" w:rsidRPr="005D66A6" w:rsidRDefault="00267B35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на проект постановления Правительства Ульяновской области «О внесении изменений в постановление Правите</w:t>
      </w:r>
      <w:r w:rsidR="00FB7A80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льства Ульяновской области от 11.03.2012 </w:t>
      </w:r>
      <w:r w:rsidR="00F2586E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="00FB7A80" w:rsidRPr="005D66A6">
        <w:rPr>
          <w:rFonts w:ascii="PT Astra Serif" w:hAnsi="PT Astra Serif" w:cs="Times New Roman"/>
          <w:spacing w:val="-6"/>
          <w:sz w:val="27"/>
          <w:szCs w:val="27"/>
        </w:rPr>
        <w:t>№ 113</w:t>
      </w:r>
      <w:r w:rsidR="00577B57" w:rsidRPr="005D66A6">
        <w:rPr>
          <w:rFonts w:ascii="PT Astra Serif" w:hAnsi="PT Astra Serif" w:cs="Times New Roman"/>
          <w:spacing w:val="-6"/>
          <w:sz w:val="27"/>
          <w:szCs w:val="27"/>
        </w:rPr>
        <w:t>-П»;</w:t>
      </w:r>
    </w:p>
    <w:p w:rsidR="00F2586E" w:rsidRPr="005D66A6" w:rsidRDefault="00577B57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на проект постановления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годы».</w:t>
      </w:r>
    </w:p>
    <w:p w:rsidR="00267B35" w:rsidRPr="005D66A6" w:rsidRDefault="00F2586E" w:rsidP="00570A86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В 1 полугодии</w:t>
      </w:r>
      <w:r w:rsidR="00842CC3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2019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года в Министерство на подготовку заключения об оценке регул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>и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рующего воздействия поступило 46 проектов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нормативных правовых актов Ульяновской области. </w:t>
      </w:r>
    </w:p>
    <w:p w:rsidR="00267B35" w:rsidRPr="005D66A6" w:rsidRDefault="00F2586E" w:rsidP="00570A86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</w:rPr>
        <w:t>По 44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проекту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актов Ульяновской области составлен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>ы положительные заключения, по 2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проекта</w:t>
      </w:r>
      <w:r w:rsidR="00577B5E" w:rsidRPr="005D66A6">
        <w:rPr>
          <w:rFonts w:ascii="PT Astra Serif" w:hAnsi="PT Astra Serif" w:cs="Times New Roman"/>
          <w:spacing w:val="-6"/>
          <w:sz w:val="27"/>
          <w:szCs w:val="27"/>
        </w:rPr>
        <w:t>м – отрицательные заключения (4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%). 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По результатам проведённой оценки экономия средств областного бюджета Ульяновской области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</w:rPr>
        <w:br/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>и (или) эф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фективное их перераспределение 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>с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>оставила 7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млн. рублей, экономия средств субъектов предпринимательской де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</w:rPr>
        <w:t>ятельности составила порядка 94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</w:rPr>
        <w:t xml:space="preserve"> млн. рублей.</w:t>
      </w:r>
    </w:p>
    <w:p w:rsidR="00267B35" w:rsidRPr="005D66A6" w:rsidRDefault="00267B35" w:rsidP="00570A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i/>
          <w:iCs/>
          <w:spacing w:val="-6"/>
          <w:sz w:val="27"/>
          <w:szCs w:val="27"/>
        </w:rPr>
      </w:pPr>
      <w:r w:rsidRPr="005D66A6">
        <w:rPr>
          <w:rFonts w:ascii="PT Astra Serif" w:hAnsi="PT Astra Serif" w:cs="Times New Roman"/>
          <w:b/>
          <w:bCs/>
          <w:spacing w:val="-6"/>
          <w:sz w:val="27"/>
          <w:szCs w:val="27"/>
        </w:rPr>
        <w:t xml:space="preserve">В сфере обеспечения активного участия представителей интересов общества и бизнеса в противодействии коррупции </w:t>
      </w:r>
      <w:r w:rsidRPr="005D66A6">
        <w:rPr>
          <w:rFonts w:ascii="PT Astra Serif" w:hAnsi="PT Astra Serif" w:cs="Times New Roman"/>
          <w:spacing w:val="-6"/>
          <w:sz w:val="27"/>
          <w:szCs w:val="27"/>
        </w:rPr>
        <w:t>проведены следующие мероприятия: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В здании Министерства на информационных стендах размещены контактные данные лиц, ответственных за организацию противодействия коррупции </w:t>
      </w:r>
      <w:r w:rsidR="00B60233" w:rsidRPr="005D66A6">
        <w:rPr>
          <w:rFonts w:ascii="PT Astra Serif" w:hAnsi="PT Astra Serif"/>
          <w:spacing w:val="-6"/>
          <w:sz w:val="27"/>
          <w:szCs w:val="27"/>
        </w:rPr>
        <w:br/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в Министерстве, а также контактные телефоны «горячих антикоррупционных линий» </w:t>
      </w:r>
      <w:r w:rsidR="00B60233" w:rsidRPr="005D66A6">
        <w:rPr>
          <w:rFonts w:ascii="PT Astra Serif" w:hAnsi="PT Astra Serif"/>
          <w:spacing w:val="-6"/>
          <w:sz w:val="27"/>
          <w:szCs w:val="27"/>
        </w:rPr>
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 w:rsidRPr="005D66A6">
        <w:rPr>
          <w:rFonts w:ascii="PT Astra Serif" w:hAnsi="PT Astra Serif"/>
          <w:spacing w:val="-6"/>
          <w:sz w:val="27"/>
          <w:szCs w:val="27"/>
        </w:rPr>
        <w:t>, органов Прокуратуры, органов внутренних дел.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За </w:t>
      </w:r>
      <w:r w:rsidR="00577B5E" w:rsidRPr="005D66A6">
        <w:rPr>
          <w:rFonts w:ascii="PT Astra Serif" w:hAnsi="PT Astra Serif"/>
          <w:spacing w:val="-6"/>
          <w:sz w:val="27"/>
          <w:szCs w:val="27"/>
        </w:rPr>
        <w:t>1 полугодие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201</w:t>
      </w:r>
      <w:r w:rsidR="00BF2ECC" w:rsidRPr="005D66A6">
        <w:rPr>
          <w:rFonts w:ascii="PT Astra Serif" w:hAnsi="PT Astra Serif"/>
          <w:spacing w:val="-6"/>
          <w:sz w:val="27"/>
          <w:szCs w:val="27"/>
        </w:rPr>
        <w:t>9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года распространено </w:t>
      </w:r>
      <w:r w:rsidR="00577B5E" w:rsidRPr="005D66A6">
        <w:rPr>
          <w:rFonts w:ascii="PT Astra Serif" w:hAnsi="PT Astra Serif"/>
          <w:spacing w:val="-6"/>
          <w:sz w:val="27"/>
          <w:szCs w:val="27"/>
        </w:rPr>
        <w:t xml:space="preserve">292 </w:t>
      </w:r>
      <w:r w:rsidR="00895015" w:rsidRPr="005D66A6">
        <w:rPr>
          <w:rFonts w:ascii="PT Astra Serif" w:hAnsi="PT Astra Serif"/>
          <w:spacing w:val="-6"/>
          <w:sz w:val="27"/>
          <w:szCs w:val="27"/>
        </w:rPr>
        <w:t>памят</w:t>
      </w:r>
      <w:r w:rsidR="00BF2ECC" w:rsidRPr="005D66A6">
        <w:rPr>
          <w:rFonts w:ascii="PT Astra Serif" w:hAnsi="PT Astra Serif"/>
          <w:spacing w:val="-6"/>
          <w:sz w:val="27"/>
          <w:szCs w:val="27"/>
        </w:rPr>
        <w:t>ки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для граждан об общественно опасных последстви</w:t>
      </w:r>
      <w:r w:rsidR="000C388E" w:rsidRPr="005D66A6">
        <w:rPr>
          <w:rFonts w:ascii="PT Astra Serif" w:hAnsi="PT Astra Serif"/>
          <w:spacing w:val="-6"/>
          <w:sz w:val="27"/>
          <w:szCs w:val="27"/>
        </w:rPr>
        <w:t>ях проявления коррупции, которые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также размещена </w:t>
      </w:r>
      <w:r w:rsidRPr="005D66A6">
        <w:rPr>
          <w:rFonts w:ascii="PT Astra Serif" w:hAnsi="PT Astra Serif"/>
          <w:spacing w:val="-6"/>
          <w:sz w:val="27"/>
          <w:szCs w:val="27"/>
        </w:rPr>
        <w:lastRenderedPageBreak/>
        <w:t>на стенде в здании Министерства (Спасская, д.3), департамента государствен</w:t>
      </w:r>
      <w:r w:rsidR="00BF2ECC" w:rsidRPr="005D66A6">
        <w:rPr>
          <w:rFonts w:ascii="PT Astra Serif" w:hAnsi="PT Astra Serif"/>
          <w:spacing w:val="-6"/>
          <w:sz w:val="27"/>
          <w:szCs w:val="27"/>
        </w:rPr>
        <w:t>ных закупок (Северный венец,28)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и Ульяновского бизнес-инкубатора.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В целях повышения открытости и прозрачности закупочной деятельности </w:t>
      </w:r>
      <w:r w:rsidR="00BF2ECC" w:rsidRPr="005D66A6">
        <w:rPr>
          <w:rFonts w:ascii="PT Astra Serif" w:hAnsi="PT Astra Serif"/>
          <w:spacing w:val="-6"/>
          <w:sz w:val="27"/>
          <w:szCs w:val="27"/>
        </w:rPr>
        <w:br/>
      </w:r>
      <w:r w:rsidRPr="005D66A6">
        <w:rPr>
          <w:rFonts w:ascii="PT Astra Serif" w:hAnsi="PT Astra Serif"/>
          <w:spacing w:val="-6"/>
          <w:sz w:val="27"/>
          <w:szCs w:val="27"/>
        </w:rPr>
        <w:t>на постоянной основе организовано и проводится в случаях, предусмотренных законода</w:t>
      </w:r>
      <w:r w:rsidR="00BF2ECC" w:rsidRPr="005D66A6">
        <w:rPr>
          <w:rFonts w:ascii="PT Astra Serif" w:hAnsi="PT Astra Serif"/>
          <w:spacing w:val="-6"/>
          <w:sz w:val="27"/>
          <w:szCs w:val="27"/>
        </w:rPr>
        <w:t>тельством о контрактной системе Общественные обсуждения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государственных закупок Ульяновской области.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8" w:history="1">
        <w:r w:rsidRPr="005D66A6">
          <w:rPr>
            <w:rStyle w:val="a4"/>
            <w:rFonts w:ascii="PT Astra Serif" w:hAnsi="PT Astra Serif"/>
            <w:spacing w:val="-6"/>
            <w:sz w:val="27"/>
            <w:szCs w:val="27"/>
            <w:lang w:val="en-US"/>
          </w:rPr>
          <w:t>http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</w:rPr>
          <w:t>://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  <w:lang w:val="en-US"/>
          </w:rPr>
          <w:t>zakupki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</w:rPr>
          <w:t>.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  <w:lang w:val="en-US"/>
          </w:rPr>
          <w:t>gov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</w:rPr>
          <w:t>.</w:t>
        </w:r>
        <w:r w:rsidRPr="005D66A6">
          <w:rPr>
            <w:rStyle w:val="a4"/>
            <w:rFonts w:ascii="PT Astra Serif" w:hAnsi="PT Astra Serif"/>
            <w:spacing w:val="-6"/>
            <w:sz w:val="27"/>
            <w:szCs w:val="27"/>
            <w:lang w:val="en-US"/>
          </w:rPr>
          <w:t>ru</w:t>
        </w:r>
      </w:hyperlink>
      <w:r w:rsidRPr="005D66A6">
        <w:rPr>
          <w:rFonts w:ascii="PT Astra Serif" w:hAnsi="PT Astra Serif"/>
          <w:spacing w:val="-6"/>
          <w:sz w:val="27"/>
          <w:szCs w:val="27"/>
        </w:rPr>
        <w:t>.</w:t>
      </w:r>
    </w:p>
    <w:p w:rsidR="00267B35" w:rsidRPr="005D66A6" w:rsidRDefault="00267B35" w:rsidP="00570A86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b/>
          <w:bCs/>
          <w:spacing w:val="-6"/>
          <w:sz w:val="27"/>
          <w:szCs w:val="27"/>
        </w:rPr>
        <w:t xml:space="preserve">В сфере создания системы противодействия коррупции </w:t>
      </w:r>
      <w:r w:rsidR="007D33F0" w:rsidRPr="005D66A6">
        <w:rPr>
          <w:rFonts w:ascii="PT Astra Serif" w:hAnsi="PT Astra Serif"/>
          <w:b/>
          <w:bCs/>
          <w:spacing w:val="-6"/>
          <w:sz w:val="27"/>
          <w:szCs w:val="27"/>
        </w:rPr>
        <w:br/>
      </w:r>
      <w:r w:rsidRPr="005D66A6">
        <w:rPr>
          <w:rFonts w:ascii="PT Astra Serif" w:hAnsi="PT Astra Serif"/>
          <w:b/>
          <w:bCs/>
          <w:spacing w:val="-6"/>
          <w:sz w:val="27"/>
          <w:szCs w:val="27"/>
        </w:rPr>
        <w:t>в Министерстве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проведены следующие мероприятия.</w:t>
      </w:r>
    </w:p>
    <w:p w:rsidR="00267B35" w:rsidRPr="005D66A6" w:rsidRDefault="00267B35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6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В рамках правового просвещения департаментом реформирования контрольной (надзорной) деятельности, правового и финансового обеспечения Министерства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br/>
      </w: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на постоянной основе проводятся консультационные часы по противодействию коррупции среди сотрудников Министерства. В </w:t>
      </w:r>
      <w:r w:rsidR="00577B5E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>1 полугодии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2019</w:t>
      </w: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год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>а</w:t>
      </w: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организовано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br/>
      </w:r>
      <w:r w:rsidR="00577B5E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>4</w:t>
      </w: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таких консультационных часа.</w:t>
      </w:r>
    </w:p>
    <w:p w:rsidR="00267B35" w:rsidRPr="005D66A6" w:rsidRDefault="00EF445C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-6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>В 1 полугодии</w:t>
      </w:r>
      <w:r w:rsidR="00B60233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2019</w:t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 года проведены Управлением по вопросам государственной службы и кадров администрации Губернатора Ульяновской области обучающие семинары для государственных гражданских служащих Министерства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br/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 xml:space="preserve">по предоставлению сведений о доходах, расходах и обязательствах имущественного характера, а также доведена информация об обязанности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="007D33F0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br/>
      </w:r>
      <w:r w:rsidR="00267B35" w:rsidRPr="005D66A6">
        <w:rPr>
          <w:rFonts w:ascii="PT Astra Serif" w:hAnsi="PT Astra Serif" w:cs="Times New Roman"/>
          <w:spacing w:val="-6"/>
          <w:sz w:val="27"/>
          <w:szCs w:val="27"/>
          <w:lang w:eastAsia="ru-RU"/>
        </w:rPr>
        <w:t>на замещение должности гражданской службы, гражданский служащий размещали общедоступную информацию, а также данные, позволяющие их идентифицировать.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При Министерстве создана и работает Комиссия по соблюдению требований </w:t>
      </w:r>
      <w:r w:rsidR="007D33F0" w:rsidRPr="005D66A6">
        <w:rPr>
          <w:rFonts w:ascii="PT Astra Serif" w:hAnsi="PT Astra Serif"/>
          <w:spacing w:val="-6"/>
          <w:sz w:val="27"/>
          <w:szCs w:val="27"/>
        </w:rPr>
        <w:br/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к служебному поведению государственных гражданских служащих Министерства </w:t>
      </w:r>
      <w:r w:rsidR="00B60233" w:rsidRPr="005D66A6">
        <w:rPr>
          <w:rFonts w:ascii="PT Astra Serif" w:hAnsi="PT Astra Serif"/>
          <w:spacing w:val="-6"/>
          <w:sz w:val="27"/>
          <w:szCs w:val="27"/>
        </w:rPr>
        <w:t xml:space="preserve">цифровой экономики и конкуренции 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Ульяновской области и урегулированию конфликта интересов. </w:t>
      </w:r>
    </w:p>
    <w:p w:rsidR="00267B35" w:rsidRPr="005D66A6" w:rsidRDefault="00267B35" w:rsidP="00570A86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rFonts w:ascii="PT Astra Serif" w:hAnsi="PT Astra Serif"/>
          <w:b/>
          <w:bCs/>
          <w:spacing w:val="-6"/>
          <w:sz w:val="27"/>
          <w:szCs w:val="27"/>
        </w:rPr>
      </w:pPr>
      <w:r w:rsidRPr="005D66A6">
        <w:rPr>
          <w:rFonts w:ascii="PT Astra Serif" w:hAnsi="PT Astra Serif"/>
          <w:b/>
          <w:bCs/>
          <w:spacing w:val="-6"/>
          <w:sz w:val="27"/>
          <w:szCs w:val="27"/>
        </w:rPr>
        <w:t xml:space="preserve">В сфере обеспечения неотвратимости ответственности </w:t>
      </w:r>
      <w:r w:rsidR="007D33F0" w:rsidRPr="005D66A6">
        <w:rPr>
          <w:rFonts w:ascii="PT Astra Serif" w:hAnsi="PT Astra Serif"/>
          <w:b/>
          <w:bCs/>
          <w:spacing w:val="-6"/>
          <w:sz w:val="27"/>
          <w:szCs w:val="27"/>
        </w:rPr>
        <w:br/>
      </w:r>
      <w:r w:rsidRPr="005D66A6">
        <w:rPr>
          <w:rFonts w:ascii="PT Astra Serif" w:hAnsi="PT Astra Serif"/>
          <w:b/>
          <w:bCs/>
          <w:spacing w:val="-6"/>
          <w:sz w:val="27"/>
          <w:szCs w:val="27"/>
        </w:rPr>
        <w:t>за коррупционные правонарушения.</w:t>
      </w:r>
    </w:p>
    <w:p w:rsidR="00BC450A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267B35" w:rsidRPr="005D66A6" w:rsidRDefault="00267B35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 xml:space="preserve">В </w:t>
      </w:r>
      <w:r w:rsidR="00EF445C" w:rsidRPr="005D66A6">
        <w:rPr>
          <w:rFonts w:ascii="PT Astra Serif" w:hAnsi="PT Astra Serif"/>
          <w:spacing w:val="-6"/>
          <w:sz w:val="27"/>
          <w:szCs w:val="27"/>
        </w:rPr>
        <w:t>1 полугодии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201</w:t>
      </w:r>
      <w:r w:rsidR="006F2CF7" w:rsidRPr="005D66A6">
        <w:rPr>
          <w:rFonts w:ascii="PT Astra Serif" w:hAnsi="PT Astra Serif"/>
          <w:spacing w:val="-6"/>
          <w:sz w:val="27"/>
          <w:szCs w:val="27"/>
        </w:rPr>
        <w:t>9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 года Счётной палатой Ульяновской области и Департаментом внутреннего государственного финансового контроля Ульяновской области</w:t>
      </w:r>
      <w:r w:rsidR="00EF445C" w:rsidRPr="005D66A6">
        <w:rPr>
          <w:rFonts w:ascii="PT Astra Serif" w:hAnsi="PT Astra Serif"/>
          <w:spacing w:val="-6"/>
          <w:sz w:val="27"/>
          <w:szCs w:val="27"/>
        </w:rPr>
        <w:t xml:space="preserve"> </w:t>
      </w:r>
      <w:r w:rsidRPr="005D66A6">
        <w:rPr>
          <w:rFonts w:ascii="PT Astra Serif" w:hAnsi="PT Astra Serif"/>
          <w:spacing w:val="-6"/>
          <w:sz w:val="27"/>
          <w:szCs w:val="27"/>
        </w:rPr>
        <w:t xml:space="preserve">проведены проверки финансовой деятельности Министерства. </w:t>
      </w:r>
      <w:r w:rsidR="00D76A1F" w:rsidRPr="005D66A6">
        <w:rPr>
          <w:rFonts w:ascii="PT Astra Serif" w:hAnsi="PT Astra Serif"/>
          <w:spacing w:val="-6"/>
          <w:sz w:val="27"/>
          <w:szCs w:val="27"/>
        </w:rPr>
        <w:t>В ходе проверки, проведённой Счётной палатой Ульяновской области нарушений в финансовой деятельности Министерства не выявлено. В</w:t>
      </w:r>
      <w:r w:rsidR="001A220E" w:rsidRPr="005D66A6">
        <w:rPr>
          <w:rFonts w:ascii="PT Astra Serif" w:hAnsi="PT Astra Serif"/>
          <w:spacing w:val="-6"/>
          <w:sz w:val="27"/>
          <w:szCs w:val="27"/>
        </w:rPr>
        <w:t xml:space="preserve"> результате проверки финанс</w:t>
      </w:r>
      <w:r w:rsidR="00D76A1F" w:rsidRPr="005D66A6">
        <w:rPr>
          <w:rFonts w:ascii="PT Astra Serif" w:hAnsi="PT Astra Serif"/>
          <w:spacing w:val="-6"/>
          <w:sz w:val="27"/>
          <w:szCs w:val="27"/>
        </w:rPr>
        <w:t xml:space="preserve">овой деятельности Министерства Департаментом внутреннего государственного финансового контроля Ульяновской области </w:t>
      </w:r>
      <w:r w:rsidR="001A220E" w:rsidRPr="005D66A6">
        <w:rPr>
          <w:rFonts w:ascii="PT Astra Serif" w:hAnsi="PT Astra Serif"/>
          <w:spacing w:val="-6"/>
          <w:sz w:val="27"/>
          <w:szCs w:val="27"/>
        </w:rPr>
        <w:t xml:space="preserve">(далее – Департамент) </w:t>
      </w:r>
      <w:r w:rsidR="00D76A1F" w:rsidRPr="005D66A6">
        <w:rPr>
          <w:rFonts w:ascii="PT Astra Serif" w:hAnsi="PT Astra Serif"/>
          <w:spacing w:val="-6"/>
          <w:sz w:val="27"/>
          <w:szCs w:val="27"/>
        </w:rPr>
        <w:t>19.03.2019 составлен акт о выявлен</w:t>
      </w:r>
      <w:r w:rsidR="0098159E" w:rsidRPr="005D66A6">
        <w:rPr>
          <w:rFonts w:ascii="PT Astra Serif" w:hAnsi="PT Astra Serif"/>
          <w:spacing w:val="-6"/>
          <w:sz w:val="27"/>
          <w:szCs w:val="27"/>
        </w:rPr>
        <w:t xml:space="preserve">ных нарушениях № 02.04.02-01/5. На основании заключения о проведении служебной проверки по итогам рассмотрения представления об обязательном рассмотрении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правоотношения, о принятии мер по их устранению, </w:t>
      </w:r>
      <w:r w:rsidR="0098159E" w:rsidRPr="005D66A6">
        <w:rPr>
          <w:rFonts w:ascii="PT Astra Serif" w:hAnsi="PT Astra Serif"/>
          <w:spacing w:val="-6"/>
          <w:sz w:val="27"/>
          <w:szCs w:val="27"/>
        </w:rPr>
        <w:br/>
      </w:r>
      <w:r w:rsidR="0098159E" w:rsidRPr="005D66A6">
        <w:rPr>
          <w:rFonts w:ascii="PT Astra Serif" w:hAnsi="PT Astra Serif"/>
          <w:spacing w:val="-6"/>
          <w:sz w:val="27"/>
          <w:szCs w:val="27"/>
        </w:rPr>
        <w:lastRenderedPageBreak/>
        <w:t xml:space="preserve">а также устранению причин и условий таких нарушений №7 от 18.04.2019 </w:t>
      </w:r>
      <w:r w:rsidR="0098159E" w:rsidRPr="005D66A6">
        <w:rPr>
          <w:rFonts w:ascii="PT Astra Serif" w:hAnsi="PT Astra Serif"/>
          <w:spacing w:val="-6"/>
          <w:sz w:val="27"/>
          <w:szCs w:val="27"/>
        </w:rPr>
        <w:br/>
        <w:t xml:space="preserve">за ненадлежащее исполнение должностных обязанностей, установленных положением о структурном подразделении, должностным регламентом и иными правовыми актами, согласно распоряжению Министерства цифровой экономики и конкуренции Ульяновской области от 29.04.2019 № 106-р «О привлечении к дисциплинарной </w:t>
      </w:r>
      <w:r w:rsidR="0098159E" w:rsidRPr="005D66A6">
        <w:rPr>
          <w:rFonts w:ascii="PT Astra Serif" w:hAnsi="PT Astra Serif"/>
          <w:spacing w:val="-6"/>
          <w:sz w:val="27"/>
          <w:szCs w:val="27"/>
        </w:rPr>
        <w:br/>
        <w:t>и материальной ответственности» начальник отдела развития инноваций и предпринимательской деятельности департамента инвестиционной политики Министерства цифровой экономики и конкуренции Ульяновской области Раводину К.О. объявлено замечание, референту отдела планово-финансовой деятельности и осуществления закупок департамента реформирования контрольной (надзорной) деятельности, правового и финансового обеспечения Министерства цифровой экономики и конкуренции Ульяновской области Мочаловой Н.Н. снизить размер ежемесячного денежного поощрения на 100 процентов за апрель 2019 года.</w:t>
      </w:r>
    </w:p>
    <w:p w:rsidR="00267B35" w:rsidRPr="005D66A6" w:rsidRDefault="00D82D18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5D66A6">
        <w:rPr>
          <w:rFonts w:ascii="PT Astra Serif" w:hAnsi="PT Astra Serif"/>
          <w:sz w:val="26"/>
          <w:szCs w:val="26"/>
        </w:rPr>
        <w:t xml:space="preserve">В части </w:t>
      </w:r>
      <w:r w:rsidR="00267B35" w:rsidRPr="005D66A6">
        <w:rPr>
          <w:rFonts w:ascii="PT Astra Serif" w:hAnsi="PT Astra Serif"/>
          <w:sz w:val="26"/>
          <w:szCs w:val="26"/>
        </w:rPr>
        <w:t xml:space="preserve">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</w:t>
      </w:r>
      <w:r w:rsidR="007D33F0" w:rsidRPr="005D66A6">
        <w:rPr>
          <w:rFonts w:ascii="PT Astra Serif" w:hAnsi="PT Astra Serif"/>
          <w:sz w:val="26"/>
          <w:szCs w:val="26"/>
        </w:rPr>
        <w:br/>
      </w:r>
      <w:r w:rsidR="00267B35" w:rsidRPr="005D66A6">
        <w:rPr>
          <w:rFonts w:ascii="PT Astra Serif" w:hAnsi="PT Astra Serif"/>
          <w:sz w:val="26"/>
          <w:szCs w:val="26"/>
        </w:rPr>
        <w:t>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 тарифов Министерства в сети «Интернет» по адресу http://tarif.ekonom73.ru.</w:t>
      </w:r>
    </w:p>
    <w:p w:rsidR="00D82D18" w:rsidRPr="005D66A6" w:rsidRDefault="0098159E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5D66A6">
        <w:rPr>
          <w:rFonts w:ascii="PT Astra Serif" w:hAnsi="PT Astra Serif"/>
          <w:spacing w:val="-4"/>
          <w:sz w:val="26"/>
          <w:szCs w:val="26"/>
        </w:rPr>
        <w:t xml:space="preserve">За 1 полугодие </w:t>
      </w:r>
      <w:r w:rsidR="00BC450A" w:rsidRPr="005D66A6">
        <w:rPr>
          <w:rFonts w:ascii="PT Astra Serif" w:hAnsi="PT Astra Serif"/>
          <w:spacing w:val="-4"/>
          <w:sz w:val="26"/>
          <w:szCs w:val="26"/>
        </w:rPr>
        <w:t>2019 года проведено 26</w:t>
      </w:r>
      <w:r w:rsidR="00D82D18" w:rsidRPr="005D66A6">
        <w:rPr>
          <w:rFonts w:ascii="PT Astra Serif" w:hAnsi="PT Astra Serif"/>
          <w:spacing w:val="-4"/>
          <w:sz w:val="26"/>
          <w:szCs w:val="26"/>
        </w:rPr>
        <w:t xml:space="preserve"> заседаний правлений Министерства, </w:t>
      </w:r>
      <w:r w:rsidR="00D82D18" w:rsidRPr="005D66A6">
        <w:rPr>
          <w:rFonts w:ascii="PT Astra Serif" w:hAnsi="PT Astra Serif"/>
          <w:spacing w:val="-4"/>
          <w:sz w:val="26"/>
          <w:szCs w:val="26"/>
        </w:rPr>
        <w:br/>
        <w:t xml:space="preserve">на которых рассматривались дела по вопросам установления цен (тарифов) </w:t>
      </w:r>
      <w:r w:rsidR="007D33F0" w:rsidRPr="005D66A6">
        <w:rPr>
          <w:rFonts w:ascii="PT Astra Serif" w:hAnsi="PT Astra Serif"/>
          <w:spacing w:val="-4"/>
          <w:sz w:val="26"/>
          <w:szCs w:val="26"/>
        </w:rPr>
        <w:br/>
      </w:r>
      <w:r w:rsidR="00D82D18" w:rsidRPr="005D66A6">
        <w:rPr>
          <w:rFonts w:ascii="PT Astra Serif" w:hAnsi="PT Astra Serif"/>
          <w:spacing w:val="-4"/>
          <w:sz w:val="26"/>
          <w:szCs w:val="26"/>
        </w:rPr>
        <w:t xml:space="preserve">в сфере теплоснабжения, электроснабжения, водоснабжения и водоотведения, </w:t>
      </w:r>
      <w:r w:rsidR="007D33F0" w:rsidRPr="005D66A6">
        <w:rPr>
          <w:rFonts w:ascii="PT Astra Serif" w:hAnsi="PT Astra Serif"/>
          <w:spacing w:val="-4"/>
          <w:sz w:val="26"/>
          <w:szCs w:val="26"/>
        </w:rPr>
        <w:br/>
      </w:r>
      <w:r w:rsidR="00D82D18" w:rsidRPr="005D66A6">
        <w:rPr>
          <w:rFonts w:ascii="PT Astra Serif" w:hAnsi="PT Astra Serif"/>
          <w:sz w:val="26"/>
          <w:szCs w:val="26"/>
        </w:rPr>
        <w:t>в сфере обращения с ТКО</w:t>
      </w:r>
      <w:r w:rsidR="00D82D18" w:rsidRPr="005D66A6">
        <w:rPr>
          <w:rFonts w:ascii="PT Astra Serif" w:hAnsi="PT Astra Serif"/>
          <w:spacing w:val="-4"/>
          <w:sz w:val="26"/>
          <w:szCs w:val="26"/>
        </w:rPr>
        <w:t>.</w:t>
      </w:r>
    </w:p>
    <w:p w:rsidR="00267B35" w:rsidRPr="005D66A6" w:rsidRDefault="00BC450A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77</w:t>
      </w:r>
      <w:r w:rsidR="00D82D18" w:rsidRPr="005D66A6">
        <w:rPr>
          <w:rFonts w:ascii="PT Astra Serif" w:hAnsi="PT Astra Serif"/>
          <w:sz w:val="27"/>
          <w:szCs w:val="27"/>
        </w:rPr>
        <w:t xml:space="preserve"> приказов Министерства об установлении цен (тарифов) в сфере теплоснабжения, электроснабжения, водоснабжения и водоотведения, в сфере обращения с ТКО, </w:t>
      </w:r>
      <w:r w:rsidR="00267B35" w:rsidRPr="005D66A6">
        <w:rPr>
          <w:rFonts w:ascii="PT Astra Serif" w:hAnsi="PT Astra Serif"/>
          <w:sz w:val="27"/>
          <w:szCs w:val="27"/>
        </w:rPr>
        <w:t xml:space="preserve">размещено на сайте департамента по регулированию цен </w:t>
      </w:r>
      <w:r w:rsidR="007D33F0" w:rsidRPr="005D66A6">
        <w:rPr>
          <w:rFonts w:ascii="PT Astra Serif" w:hAnsi="PT Astra Serif"/>
          <w:sz w:val="27"/>
          <w:szCs w:val="27"/>
        </w:rPr>
        <w:br/>
      </w:r>
      <w:r w:rsidR="00267B35" w:rsidRPr="005D66A6">
        <w:rPr>
          <w:rFonts w:ascii="PT Astra Serif" w:hAnsi="PT Astra Serif"/>
          <w:sz w:val="27"/>
          <w:szCs w:val="27"/>
        </w:rPr>
        <w:t>и тарифов Министерства.</w:t>
      </w:r>
    </w:p>
    <w:p w:rsidR="00F21FD7" w:rsidRPr="005D66A6" w:rsidRDefault="00365632" w:rsidP="00570A86">
      <w:pPr>
        <w:pStyle w:val="a5"/>
        <w:spacing w:before="0" w:after="0"/>
        <w:ind w:firstLine="709"/>
        <w:jc w:val="both"/>
        <w:rPr>
          <w:rFonts w:ascii="PT Astra Serif" w:hAnsi="PT Astra Serif"/>
          <w:spacing w:val="-6"/>
          <w:sz w:val="27"/>
          <w:szCs w:val="27"/>
        </w:rPr>
      </w:pPr>
      <w:r w:rsidRPr="005D66A6">
        <w:rPr>
          <w:rFonts w:ascii="PT Astra Serif" w:hAnsi="PT Astra Serif"/>
          <w:spacing w:val="-6"/>
          <w:sz w:val="27"/>
          <w:szCs w:val="27"/>
        </w:rPr>
        <w:t>26</w:t>
      </w:r>
      <w:r w:rsidR="006F62F1" w:rsidRPr="005D66A6">
        <w:rPr>
          <w:rFonts w:ascii="PT Astra Serif" w:hAnsi="PT Astra Serif"/>
          <w:spacing w:val="-6"/>
          <w:sz w:val="27"/>
          <w:szCs w:val="27"/>
        </w:rPr>
        <w:t xml:space="preserve">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водоотведения, в сфере обращения с ТКО размещены за 1 </w:t>
      </w:r>
      <w:r w:rsidRPr="005D66A6">
        <w:rPr>
          <w:rFonts w:ascii="PT Astra Serif" w:hAnsi="PT Astra Serif"/>
          <w:spacing w:val="-6"/>
          <w:sz w:val="27"/>
          <w:szCs w:val="27"/>
        </w:rPr>
        <w:t>полугодие</w:t>
      </w:r>
      <w:r w:rsidR="006F62F1" w:rsidRPr="005D66A6">
        <w:rPr>
          <w:rFonts w:ascii="PT Astra Serif" w:hAnsi="PT Astra Serif"/>
          <w:spacing w:val="-6"/>
          <w:sz w:val="27"/>
          <w:szCs w:val="27"/>
        </w:rPr>
        <w:t xml:space="preserve"> 2019 года на официальном сайте департамента по регулированию цен и тарифов Министерства в сети «Интернет» по адресу </w:t>
      </w:r>
      <w:hyperlink r:id="rId9" w:history="1">
        <w:r w:rsidR="00425129" w:rsidRPr="005D66A6">
          <w:rPr>
            <w:rStyle w:val="a4"/>
            <w:rFonts w:ascii="PT Astra Serif" w:hAnsi="PT Astra Serif"/>
            <w:spacing w:val="-6"/>
            <w:sz w:val="27"/>
            <w:szCs w:val="27"/>
          </w:rPr>
          <w:t>http://tarif.ekonom73.ru</w:t>
        </w:r>
      </w:hyperlink>
      <w:r w:rsidR="006F62F1" w:rsidRPr="005D66A6">
        <w:rPr>
          <w:rFonts w:ascii="PT Astra Serif" w:hAnsi="PT Astra Serif"/>
          <w:spacing w:val="-6"/>
          <w:sz w:val="27"/>
          <w:szCs w:val="27"/>
        </w:rPr>
        <w:t>.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государственных заказчиков, уполномоченных органов муниципальных образований области разрабатываются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области, распоряжение Министерства цифровой  экономики и конкуренции Ульяновской области от 21.06.2019 № 255-р «Об утверждении рекомендуемых форм документов и методических рекомендаций, используемых заказчиками при подготовке к осуществлению закупок товаров, работ, услуг, и признании утратившим силу распоряжения Министерства развития конкуренции и экономики Ульяновской области от 16.10.2018 № 306-р». 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lastRenderedPageBreak/>
        <w:t>В целях повышения эффективности реализации положений Закона 44-ФЗ, а также оптимизации закупочной деятельности разрабатываются и своевременно корректируются унифицированные формы документов, используемые при организации и осуществлении закупок товаров, работ, услуг, распоряжение Министерства цифровой  экономики и конкуренции Ульяновской области от 28.06.2018 № 238-р «Об утверждении типовых форм документов, используемых при организации и осуществлении закупок товаров, работ, услуг, и признании утратившим силу распоряжения Министерства цифровой  экономики и конкуренции Ульяновской области от 26.02.2018 № 51-р».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Разработаны и утверждены Правительством Ульяновской области Методические рекомендации по снижению коррупционных рисков при осуществлении закупок товаров, работ, услуг для государственных нужд Ульяновской области от 31.08.2018 № 73-П-01/15721вн. 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Осуществляется многоступенчатая проверка документации, извещений о закупках: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1 ступень – проверка ответственным специалистом департамента разработанной документации на соответствие показателям ТЭЗ заказчика;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2 ступень –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(в случае если НМЦК менее 3 млн. руб.);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3 ступень –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(в случае если НМЦК более 3 млн. руб. или совместная закупка);</w:t>
      </w:r>
    </w:p>
    <w:p w:rsidR="00F21FD7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4 ступень – проверка ответственным специалистом департамента при формировании/публикации извещения на основе утвержденной документации на соответствие параметрам контроля, заданным в ЕИС (сроки, полнота отображаемой информации, размеров обеспечения и т.д.).</w:t>
      </w:r>
    </w:p>
    <w:p w:rsidR="008E4A73" w:rsidRPr="005D66A6" w:rsidRDefault="00F21FD7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На постоянной основе проводится разъяснительная работа с должностными лицами, ответственными за осуществление закупок, осуществляется повышение качества контроля за работой персонала.</w:t>
      </w:r>
      <w:r w:rsidR="008E4A73" w:rsidRPr="005D66A6">
        <w:rPr>
          <w:rFonts w:ascii="PT Astra Serif" w:hAnsi="PT Astra Serif"/>
          <w:sz w:val="27"/>
          <w:szCs w:val="27"/>
        </w:rPr>
        <w:t xml:space="preserve"> 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регулярно принимается участие в различных мероприятиях: 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- 19.03.2019 в рамках реализации распоряжения Правительства Ульяновской области «О мерах по автоматизации закупок малого объёма» прошло практическое занятие с представителями государственных заказчиков. Рассмотрены вопросы применения перспективных технологий в закупках, внедрения механизмов цифровизации и электронизации; 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- 20.03.2019 на базе пространства коллективной работы «Точка кипения» проведена встреча-семинар для представителей уполномоченных органов муниципалитетов, государственных и муниципальных заказчиков с участием </w:t>
      </w:r>
      <w:r w:rsidRPr="005D66A6">
        <w:rPr>
          <w:rFonts w:ascii="PT Astra Serif" w:hAnsi="PT Astra Serif"/>
          <w:sz w:val="27"/>
          <w:szCs w:val="27"/>
        </w:rPr>
        <w:lastRenderedPageBreak/>
        <w:t>ведущего российского эксперта в области закупок Кирилла Кузнецова. Были презентованы практики организации и правового регулирования закупок, а также правоприменительная судебная, административная практики;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- 21.03.2019 организована дискуссионная площадка в Мэрии города Ульяновска, обсуждены изменения и перспективы развития контрактной системы, в том числе автоматизации закупок малого объема посредством использования «электронных магазинов», рассмотрены преимущества и функционал цифровых продуктов, используемых в городе, подведены итоги осуществления и контроля муниципальных закупок;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- 16.04.2019 участие в областном семинаре-тренинге в МО «Ульяновский район», были подготовлены и представлены презентационные материалы по вопросам: новеллы законодательства о контрактной системе и нарушения законодательства в сфере закупок;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- 22.05.2019 принято участие в обучающем семинаре по актуальным вопросам закупочной деятельности, а также последним изменениям законодательства в сфере закупок для подведомственной сети регионального Министерства физической культуры и спорта;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- 22.05.2019 на базе пространства коллективной работы «Точка кипения» для заказчиков Ульяновской области организовано и проведено практическое занятие по вопросам закупок малого объема, в рамках которого была представлена презентация использования «электронного магазина» закупок малого объема Sberb2b, рассмотрены преимущества и функционал электронных магазинов, освещены особенности работы в ЕИС и последние изменения в рамках законодательства о контрактной системе. Кроме того, были даны ответы на практические вопросы по работе на электронной торговой площадке;</w:t>
      </w:r>
    </w:p>
    <w:p w:rsidR="008E4A73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- 27.05.2019 принято участие в аппаратной учебе, в рамках которой для Глав муниципальных образований и поселений были доведены новации и изменения законодательства о контрактной системе;</w:t>
      </w:r>
    </w:p>
    <w:p w:rsidR="00F21FD7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- 10-11.06.2019 организованы и проведены для специалистов ИОГВ и уполномоченных органов муниципальных образований обучающие семинары по применению и практической реализации положений федеральных законов от 01.05.2019 № 69-ФЗ, 70-ФЗ и 71-ФЗ, которыми вносятся существенные изменения законодательства о контрактной системе, направленными на упрощение, оптимизацию закупочных процедур и повышение оперативности их осуществления.</w:t>
      </w:r>
    </w:p>
    <w:p w:rsidR="00050C3D" w:rsidRPr="005D66A6" w:rsidRDefault="008E4A73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В целях повышения профессионализма заказчиков и снижения нарушений в сфере закупок департаментом государственных закупок Министерства совместно с ОГКУ «Центр по сопровождению закупок» создан и реализуется обучающий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по проблемным вопросам в сфере закупок (проведено 24 семинаров).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В рамках мониторинга закупок на территории Ульяновской области осуществляется сбор, анализ и обобщение соответствующей информации в целях: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подготовки аналитических материалов по закупкам;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выявления проблемных точек в сфере закупок и их устранения;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lastRenderedPageBreak/>
        <w:t>- выработки предложений по совершенствованию законодательства о контрактной системе и внедрение лучших практик;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- участия в рейтингах прозрачности закупочных систем регионов РФ и иных профильных мероприятиях.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рамках проведения мониторинга осуществления закупок на территории Ульяновской области ежемесячно/еженедельно подготавливаются отчёты по закупкам, иные аналитические материалы, а также ежегодный мониторинг, при этом указанная информация регулярно размещается на официальном сайте Министерства цифровой экономики и конкуренции Ульяновской области www.ekonom73.ru в разделе «Библиотека по контрактной системе». 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части выполнения функции по регулированию контрактной системы осуществляется обеспечение реализации государственной политики в сфере закупок 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 </w:t>
      </w:r>
    </w:p>
    <w:p w:rsidR="00050C3D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целях выявления системных нарушений при планировании закупок, нарушений и недостатков при размещении в ЕИС планов-графиков закупок на текущий год обеспечен мониторинг сводного плана-графика заказчиков, являющихся участниками региональной информационной системы «АЦК – Госзаказ». </w:t>
      </w:r>
    </w:p>
    <w:p w:rsidR="008E4A73" w:rsidRPr="005D66A6" w:rsidRDefault="00050C3D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 xml:space="preserve">В ходе осуществления мониторинга проведен анализ планов-графиков 225 заказчиков, выдано 120 уведомлений о результатах мониторинга плана-графика закупок, содержащих предложения и рекомендации по приведению плана-графика в соответствие с требованиями законодательства о контрактной системе. Результаты мониторинга размещены на сайтах: www.ekonom73.ru, </w:t>
      </w:r>
      <w:r w:rsidRPr="005D66A6">
        <w:rPr>
          <w:rFonts w:ascii="PT Astra Serif" w:hAnsi="PT Astra Serif"/>
          <w:sz w:val="27"/>
          <w:szCs w:val="27"/>
        </w:rPr>
        <w:br/>
      </w:r>
      <w:hyperlink r:id="rId10" w:history="1">
        <w:r w:rsidRPr="005D66A6">
          <w:rPr>
            <w:rStyle w:val="a4"/>
            <w:rFonts w:ascii="PT Astra Serif" w:hAnsi="PT Astra Serif"/>
            <w:sz w:val="27"/>
            <w:szCs w:val="27"/>
          </w:rPr>
          <w:t>www.ul-goszak.ru</w:t>
        </w:r>
      </w:hyperlink>
      <w:r w:rsidRPr="005D66A6">
        <w:rPr>
          <w:rFonts w:ascii="PT Astra Serif" w:hAnsi="PT Astra Serif"/>
          <w:sz w:val="27"/>
          <w:szCs w:val="27"/>
        </w:rPr>
        <w:t>.</w:t>
      </w:r>
    </w:p>
    <w:p w:rsidR="00267B35" w:rsidRPr="005D66A6" w:rsidRDefault="009D085E" w:rsidP="00570A86">
      <w:pPr>
        <w:pStyle w:val="a5"/>
        <w:spacing w:before="0"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5D66A6">
        <w:rPr>
          <w:rFonts w:ascii="PT Astra Serif" w:hAnsi="PT Astra Serif"/>
          <w:sz w:val="27"/>
          <w:szCs w:val="27"/>
        </w:rPr>
        <w:t>В 1 полугодии</w:t>
      </w:r>
      <w:r w:rsidR="00267B35" w:rsidRPr="005D66A6">
        <w:rPr>
          <w:rFonts w:ascii="PT Astra Serif" w:hAnsi="PT Astra Serif"/>
          <w:sz w:val="27"/>
          <w:szCs w:val="27"/>
        </w:rPr>
        <w:t xml:space="preserve"> 201</w:t>
      </w:r>
      <w:r w:rsidR="006F2CF7" w:rsidRPr="005D66A6">
        <w:rPr>
          <w:rFonts w:ascii="PT Astra Serif" w:hAnsi="PT Astra Serif"/>
          <w:sz w:val="27"/>
          <w:szCs w:val="27"/>
        </w:rPr>
        <w:t>9</w:t>
      </w:r>
      <w:r w:rsidR="00267B35" w:rsidRPr="005D66A6">
        <w:rPr>
          <w:rFonts w:ascii="PT Astra Serif" w:hAnsi="PT Astra Serif"/>
          <w:sz w:val="27"/>
          <w:szCs w:val="27"/>
        </w:rPr>
        <w:t xml:space="preserve"> года проведены следующие мероприятия по устранению зоны коррупционного риска в сфере формирования и реализации инвестиционной и ин</w:t>
      </w:r>
      <w:r w:rsidR="001C7E9B" w:rsidRPr="005D66A6">
        <w:rPr>
          <w:rFonts w:ascii="PT Astra Serif" w:hAnsi="PT Astra Serif"/>
          <w:sz w:val="27"/>
          <w:szCs w:val="27"/>
        </w:rPr>
        <w:t>новационной</w:t>
      </w:r>
      <w:r w:rsidR="00267B35" w:rsidRPr="005D66A6">
        <w:rPr>
          <w:rFonts w:ascii="PT Astra Serif" w:hAnsi="PT Astra Serif"/>
          <w:sz w:val="27"/>
          <w:szCs w:val="27"/>
        </w:rPr>
        <w:t xml:space="preserve"> политики, государственно-частного партнёрства</w:t>
      </w:r>
      <w:r w:rsidR="00117A6E" w:rsidRPr="005D66A6">
        <w:rPr>
          <w:rFonts w:ascii="PT Astra Serif" w:hAnsi="PT Astra Serif"/>
          <w:sz w:val="27"/>
          <w:szCs w:val="27"/>
        </w:rPr>
        <w:t>: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- многоступенчатая проверка документации и повышение качества контроля за работой сотрудников в рамках процедур, предусмотренных Федеральным законом от 21 июля 2005 года № 115-ФЗ «О концессионных соглашениях» и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Федерации»;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- оказание консультативной и методической поддержки сотрудникам ИОГВ и региональным институтам развития по вопросам соблюдения процедур, предусмотренных Федеральным законом от 21 июля 2005 года № 115-ФЗ «О концессионных соглашениях» и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Федерации».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В рамках процедур, предусмотренных Федеральным законом от 21 июля 2005 года № 115-ФЗ «О концессионных соглашениях», осуществляемых в соответствии с порядками, установленными постановлением Правительства Ульяновской области от 30.06.2016 № 303-П «О некоторых мерах по реализации </w:t>
      </w:r>
      <w:r w:rsidRPr="005D66A6">
        <w:rPr>
          <w:rFonts w:ascii="PT Astra Serif" w:hAnsi="PT Astra Serif" w:cs="Times New Roman"/>
          <w:sz w:val="27"/>
          <w:szCs w:val="27"/>
          <w:lang w:eastAsia="ru-RU"/>
        </w:rPr>
        <w:lastRenderedPageBreak/>
        <w:t>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 в 1 полугодии 2019 года по вопросу заключения концессионного соглашения рассматривалась заявка от 1 организации.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В рамках процедур, предусмотренных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 регламентированых указанным федеральным законом в 1 полугодии 2019 года процедур в рамках Федерального закона от 13.07.2015 № 224-ФЗ не проводилось.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В рамках проведения на системной основе мероприятий по устранению зоны коррупционного риска в сфере формирования и реализации инвестиционной политики департаментом инвестиционной политики Министерства регулярно осуществляется проверка документации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области»).</w:t>
      </w:r>
    </w:p>
    <w:p w:rsidR="00D27BAA" w:rsidRPr="005D66A6" w:rsidRDefault="00D27BAA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Консультирование ИОГВ и институтов развития осуществляется регулярно в рабочем порядке.</w:t>
      </w:r>
    </w:p>
    <w:p w:rsidR="00117A6E" w:rsidRPr="005D66A6" w:rsidRDefault="00295881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За 1</w:t>
      </w:r>
      <w:r w:rsidR="00117A6E"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 полугодие 2019 года по вопросу присвоения статуса особо значимого инвестиционного проекта Ульяновской области Министерством развития конкуренции и экономики Ульяновской области рассмотрено 3 обращения </w:t>
      </w:r>
      <w:r w:rsidR="00570A86" w:rsidRPr="005D66A6">
        <w:rPr>
          <w:rFonts w:ascii="PT Astra Serif" w:hAnsi="PT Astra Serif" w:cs="Times New Roman"/>
          <w:sz w:val="27"/>
          <w:szCs w:val="27"/>
          <w:lang w:eastAsia="ru-RU"/>
        </w:rPr>
        <w:br/>
      </w:r>
      <w:r w:rsidR="00117A6E" w:rsidRPr="005D66A6">
        <w:rPr>
          <w:rFonts w:ascii="PT Astra Serif" w:hAnsi="PT Astra Serif" w:cs="Times New Roman"/>
          <w:sz w:val="27"/>
          <w:szCs w:val="27"/>
          <w:lang w:eastAsia="ru-RU"/>
        </w:rPr>
        <w:t>(от 3 организаций), по итогам рассмотрения которых статус особо значимого инвестиционного проекта присвоен 3 инвестиционным проектам.</w:t>
      </w:r>
    </w:p>
    <w:p w:rsidR="00117A6E" w:rsidRPr="005D66A6" w:rsidRDefault="00117A6E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>По вопросу присвоения статуса приоритетного инвестиционно</w:t>
      </w:r>
      <w:r w:rsidR="00295881" w:rsidRPr="005D66A6">
        <w:rPr>
          <w:rFonts w:ascii="PT Astra Serif" w:hAnsi="PT Astra Serif" w:cs="Times New Roman"/>
          <w:sz w:val="27"/>
          <w:szCs w:val="27"/>
          <w:lang w:eastAsia="ru-RU"/>
        </w:rPr>
        <w:t>го проекта Ульяновской области 1</w:t>
      </w:r>
      <w:r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 полугодие 2019 года обращений не поступало.</w:t>
      </w:r>
    </w:p>
    <w:p w:rsidR="002E09F2" w:rsidRPr="005D66A6" w:rsidRDefault="002E09F2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В рамках проведения на системной основе мероприятий по устранению зоны коррупционного риска в сфере формирования и реализации инновационной политики осуществляется проверка документации в соответствии с подзаконными актами, регламентирующими процедуру применения мер государственной поддержки (постановление Правительства Ульяновской области от 11.02.2015 </w:t>
      </w:r>
      <w:r w:rsidR="00570A86" w:rsidRPr="005D66A6">
        <w:rPr>
          <w:rFonts w:ascii="PT Astra Serif" w:hAnsi="PT Astra Serif" w:cs="Times New Roman"/>
          <w:sz w:val="27"/>
          <w:szCs w:val="27"/>
          <w:lang w:eastAsia="ru-RU"/>
        </w:rPr>
        <w:br/>
      </w:r>
      <w:r w:rsidRPr="005D66A6">
        <w:rPr>
          <w:rFonts w:ascii="PT Astra Serif" w:hAnsi="PT Astra Serif" w:cs="Times New Roman"/>
          <w:sz w:val="27"/>
          <w:szCs w:val="27"/>
          <w:lang w:eastAsia="ru-RU"/>
        </w:rPr>
        <w:t>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молодёжи»).</w:t>
      </w:r>
    </w:p>
    <w:p w:rsidR="003803A2" w:rsidRPr="005D66A6" w:rsidRDefault="00E9205F" w:rsidP="00570A8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  <w:lang w:eastAsia="ru-RU"/>
        </w:rPr>
      </w:pPr>
      <w:r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В 1 полугодии 2019 года, в рамках мероприятий 8 региональной недели антикоррупционных инициатив </w:t>
      </w:r>
      <w:r w:rsidR="003803A2" w:rsidRPr="005D66A6">
        <w:rPr>
          <w:rFonts w:ascii="PT Astra Serif" w:hAnsi="PT Astra Serif" w:cs="Times New Roman"/>
          <w:sz w:val="27"/>
          <w:szCs w:val="27"/>
          <w:lang w:eastAsia="ru-RU"/>
        </w:rPr>
        <w:t>ОГКУ «Департамент государственных программ развития малого и среднего би</w:t>
      </w:r>
      <w:r w:rsidRPr="005D66A6">
        <w:rPr>
          <w:rFonts w:ascii="PT Astra Serif" w:hAnsi="PT Astra Serif" w:cs="Times New Roman"/>
          <w:sz w:val="27"/>
          <w:szCs w:val="27"/>
          <w:lang w:eastAsia="ru-RU"/>
        </w:rPr>
        <w:t>знеса Ульяновской области» провё</w:t>
      </w:r>
      <w:r w:rsidR="003803A2" w:rsidRPr="005D66A6">
        <w:rPr>
          <w:rFonts w:ascii="PT Astra Serif" w:hAnsi="PT Astra Serif" w:cs="Times New Roman"/>
          <w:sz w:val="27"/>
          <w:szCs w:val="27"/>
          <w:lang w:eastAsia="ru-RU"/>
        </w:rPr>
        <w:t xml:space="preserve">л День открытых </w:t>
      </w:r>
      <w:r w:rsidR="003803A2" w:rsidRPr="005D66A6">
        <w:rPr>
          <w:rFonts w:ascii="PT Astra Serif" w:hAnsi="PT Astra Serif" w:cs="Times New Roman"/>
          <w:sz w:val="27"/>
          <w:szCs w:val="27"/>
          <w:lang w:eastAsia="ru-RU"/>
        </w:rPr>
        <w:lastRenderedPageBreak/>
        <w:t xml:space="preserve">дверей. В программу дня вошли следующие мероприятия: консультирование по вопросам предоставления имущественной поддержки СМП в рамках деятельности Ульяновского областного бизнес-инкубатора; осмотр нежилых помещений, предоставляемых в аренду СМП в рамках деятельности Ульяновского областного бизнес-инкубатора; ознакомление СМП и резидентов с правилами поведения в случае совершения коррупционного правонарушения путем раздачи памятки для граждан; ознакомление резидентов с правилами поведения в случае совершения коррупционного правонарушения путем электронной рассылки; размещение правил поведения в случае совершения коррупционного правонарушения </w:t>
      </w:r>
      <w:r w:rsidRPr="005D66A6">
        <w:rPr>
          <w:rFonts w:ascii="PT Astra Serif" w:hAnsi="PT Astra Serif" w:cs="Times New Roman"/>
          <w:sz w:val="27"/>
          <w:szCs w:val="27"/>
          <w:lang w:eastAsia="ru-RU"/>
        </w:rPr>
        <w:br/>
      </w:r>
      <w:r w:rsidR="003803A2" w:rsidRPr="005D66A6">
        <w:rPr>
          <w:rFonts w:ascii="PT Astra Serif" w:hAnsi="PT Astra Serif" w:cs="Times New Roman"/>
          <w:sz w:val="27"/>
          <w:szCs w:val="27"/>
          <w:lang w:eastAsia="ru-RU"/>
        </w:rPr>
        <w:t>и памятки для граждан в социальных сетя</w:t>
      </w:r>
      <w:bookmarkStart w:id="0" w:name="_GoBack"/>
      <w:bookmarkEnd w:id="0"/>
      <w:r w:rsidR="003803A2" w:rsidRPr="005D66A6">
        <w:rPr>
          <w:rFonts w:ascii="PT Astra Serif" w:hAnsi="PT Astra Serif" w:cs="Times New Roman"/>
          <w:sz w:val="27"/>
          <w:szCs w:val="27"/>
          <w:lang w:eastAsia="ru-RU"/>
        </w:rPr>
        <w:t>х.</w:t>
      </w:r>
    </w:p>
    <w:sectPr w:rsidR="003803A2" w:rsidRPr="005D66A6" w:rsidSect="00776D1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7E" w:rsidRDefault="001F3E7E" w:rsidP="00776D1E">
      <w:pPr>
        <w:spacing w:after="0" w:line="240" w:lineRule="auto"/>
      </w:pPr>
      <w:r>
        <w:separator/>
      </w:r>
    </w:p>
  </w:endnote>
  <w:endnote w:type="continuationSeparator" w:id="0">
    <w:p w:rsidR="001F3E7E" w:rsidRDefault="001F3E7E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7E" w:rsidRDefault="001F3E7E" w:rsidP="00776D1E">
      <w:pPr>
        <w:spacing w:after="0" w:line="240" w:lineRule="auto"/>
      </w:pPr>
      <w:r>
        <w:separator/>
      </w:r>
    </w:p>
  </w:footnote>
  <w:footnote w:type="continuationSeparator" w:id="0">
    <w:p w:rsidR="001F3E7E" w:rsidRDefault="001F3E7E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35" w:rsidRPr="00B8734F" w:rsidRDefault="00267B35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5D66A6">
      <w:rPr>
        <w:rStyle w:val="aa"/>
        <w:rFonts w:ascii="Times New Roman" w:hAnsi="Times New Roman" w:cs="Times New Roman"/>
        <w:noProof/>
      </w:rPr>
      <w:t>8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267B35" w:rsidRDefault="00267B35">
    <w:pPr>
      <w:pStyle w:val="a6"/>
      <w:jc w:val="center"/>
    </w:pPr>
  </w:p>
  <w:p w:rsidR="00267B35" w:rsidRDefault="00267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39"/>
    <w:rsid w:val="00002E6D"/>
    <w:rsid w:val="0001510E"/>
    <w:rsid w:val="00050C3D"/>
    <w:rsid w:val="00075545"/>
    <w:rsid w:val="00092A18"/>
    <w:rsid w:val="000C388E"/>
    <w:rsid w:val="000D0D94"/>
    <w:rsid w:val="000E2F3B"/>
    <w:rsid w:val="000F5866"/>
    <w:rsid w:val="00117A6E"/>
    <w:rsid w:val="00133F39"/>
    <w:rsid w:val="00166294"/>
    <w:rsid w:val="00167065"/>
    <w:rsid w:val="001704D9"/>
    <w:rsid w:val="001917B4"/>
    <w:rsid w:val="001A220E"/>
    <w:rsid w:val="001C12B3"/>
    <w:rsid w:val="001C7E9B"/>
    <w:rsid w:val="001D2197"/>
    <w:rsid w:val="001F3E7E"/>
    <w:rsid w:val="00230D6C"/>
    <w:rsid w:val="00235F0A"/>
    <w:rsid w:val="002533C7"/>
    <w:rsid w:val="00267B35"/>
    <w:rsid w:val="00280EA9"/>
    <w:rsid w:val="00290A8F"/>
    <w:rsid w:val="00295881"/>
    <w:rsid w:val="002B4D5B"/>
    <w:rsid w:val="002C08C3"/>
    <w:rsid w:val="002E09F2"/>
    <w:rsid w:val="0030042A"/>
    <w:rsid w:val="00301764"/>
    <w:rsid w:val="003325F8"/>
    <w:rsid w:val="00362500"/>
    <w:rsid w:val="00365632"/>
    <w:rsid w:val="0037151A"/>
    <w:rsid w:val="003803A2"/>
    <w:rsid w:val="0038631A"/>
    <w:rsid w:val="003C64EB"/>
    <w:rsid w:val="003C734B"/>
    <w:rsid w:val="003E0913"/>
    <w:rsid w:val="00420252"/>
    <w:rsid w:val="00425129"/>
    <w:rsid w:val="00440ADC"/>
    <w:rsid w:val="00492B07"/>
    <w:rsid w:val="004A148B"/>
    <w:rsid w:val="004C1514"/>
    <w:rsid w:val="004C3407"/>
    <w:rsid w:val="004C6DEF"/>
    <w:rsid w:val="004E2431"/>
    <w:rsid w:val="005138D1"/>
    <w:rsid w:val="00515C2F"/>
    <w:rsid w:val="005261D5"/>
    <w:rsid w:val="00534387"/>
    <w:rsid w:val="00537FCF"/>
    <w:rsid w:val="00570A86"/>
    <w:rsid w:val="00577B57"/>
    <w:rsid w:val="00577B5E"/>
    <w:rsid w:val="0058056E"/>
    <w:rsid w:val="005B139C"/>
    <w:rsid w:val="005B2D95"/>
    <w:rsid w:val="005B3EE5"/>
    <w:rsid w:val="005C5BB7"/>
    <w:rsid w:val="005D66A6"/>
    <w:rsid w:val="00615697"/>
    <w:rsid w:val="00635D3D"/>
    <w:rsid w:val="00664592"/>
    <w:rsid w:val="00674B9A"/>
    <w:rsid w:val="006929B3"/>
    <w:rsid w:val="006B025A"/>
    <w:rsid w:val="006B4CA3"/>
    <w:rsid w:val="006F2CF7"/>
    <w:rsid w:val="006F62F1"/>
    <w:rsid w:val="00704B7D"/>
    <w:rsid w:val="0075504E"/>
    <w:rsid w:val="00773BBA"/>
    <w:rsid w:val="00776D1E"/>
    <w:rsid w:val="00784D8A"/>
    <w:rsid w:val="00786214"/>
    <w:rsid w:val="007A061C"/>
    <w:rsid w:val="007B0CCF"/>
    <w:rsid w:val="007C133C"/>
    <w:rsid w:val="007D33F0"/>
    <w:rsid w:val="007F3606"/>
    <w:rsid w:val="00842CC3"/>
    <w:rsid w:val="00884EE3"/>
    <w:rsid w:val="00895015"/>
    <w:rsid w:val="008A5730"/>
    <w:rsid w:val="008E4A73"/>
    <w:rsid w:val="00952FF3"/>
    <w:rsid w:val="0095411B"/>
    <w:rsid w:val="0098159E"/>
    <w:rsid w:val="009A1CDD"/>
    <w:rsid w:val="009C02C9"/>
    <w:rsid w:val="009D085E"/>
    <w:rsid w:val="009E41B7"/>
    <w:rsid w:val="009F24F4"/>
    <w:rsid w:val="00A348BF"/>
    <w:rsid w:val="00A36496"/>
    <w:rsid w:val="00A4308B"/>
    <w:rsid w:val="00A516C6"/>
    <w:rsid w:val="00A8329C"/>
    <w:rsid w:val="00A9273B"/>
    <w:rsid w:val="00AB09F7"/>
    <w:rsid w:val="00AB3D40"/>
    <w:rsid w:val="00AC6651"/>
    <w:rsid w:val="00AE0DE2"/>
    <w:rsid w:val="00AE3493"/>
    <w:rsid w:val="00AE3D0B"/>
    <w:rsid w:val="00B01A80"/>
    <w:rsid w:val="00B02E3C"/>
    <w:rsid w:val="00B06D13"/>
    <w:rsid w:val="00B14620"/>
    <w:rsid w:val="00B21C67"/>
    <w:rsid w:val="00B25C73"/>
    <w:rsid w:val="00B2778E"/>
    <w:rsid w:val="00B465C2"/>
    <w:rsid w:val="00B60233"/>
    <w:rsid w:val="00B75F68"/>
    <w:rsid w:val="00B8734F"/>
    <w:rsid w:val="00BA049D"/>
    <w:rsid w:val="00BB1763"/>
    <w:rsid w:val="00BB4FB0"/>
    <w:rsid w:val="00BB73D7"/>
    <w:rsid w:val="00BC450A"/>
    <w:rsid w:val="00BE4C05"/>
    <w:rsid w:val="00BF0789"/>
    <w:rsid w:val="00BF2ECC"/>
    <w:rsid w:val="00C23557"/>
    <w:rsid w:val="00C3398F"/>
    <w:rsid w:val="00C678CC"/>
    <w:rsid w:val="00C72A1A"/>
    <w:rsid w:val="00C73F95"/>
    <w:rsid w:val="00C82019"/>
    <w:rsid w:val="00CC3CEC"/>
    <w:rsid w:val="00CC52C6"/>
    <w:rsid w:val="00CC7382"/>
    <w:rsid w:val="00CD280F"/>
    <w:rsid w:val="00CE46C1"/>
    <w:rsid w:val="00CF10DA"/>
    <w:rsid w:val="00CF5C25"/>
    <w:rsid w:val="00D112F7"/>
    <w:rsid w:val="00D27BAA"/>
    <w:rsid w:val="00D414B3"/>
    <w:rsid w:val="00D47D16"/>
    <w:rsid w:val="00D76A1F"/>
    <w:rsid w:val="00D82D18"/>
    <w:rsid w:val="00D8677E"/>
    <w:rsid w:val="00DD30AC"/>
    <w:rsid w:val="00E125C4"/>
    <w:rsid w:val="00E34513"/>
    <w:rsid w:val="00E56F68"/>
    <w:rsid w:val="00E9205F"/>
    <w:rsid w:val="00EB2F1C"/>
    <w:rsid w:val="00EB6BD6"/>
    <w:rsid w:val="00EC1ABF"/>
    <w:rsid w:val="00EF0503"/>
    <w:rsid w:val="00EF1530"/>
    <w:rsid w:val="00EF445C"/>
    <w:rsid w:val="00F21FD7"/>
    <w:rsid w:val="00F2586E"/>
    <w:rsid w:val="00F82902"/>
    <w:rsid w:val="00F87D18"/>
    <w:rsid w:val="00FB338A"/>
    <w:rsid w:val="00FB60D8"/>
    <w:rsid w:val="00FB7A80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Strong"/>
    <w:uiPriority w:val="99"/>
    <w:qFormat/>
    <w:locked/>
    <w:rsid w:val="00E125C4"/>
    <w:rPr>
      <w:b/>
      <w:bCs/>
    </w:rPr>
  </w:style>
  <w:style w:type="character" w:customStyle="1" w:styleId="apple-style-span">
    <w:name w:val="apple-style-span"/>
    <w:uiPriority w:val="99"/>
    <w:rsid w:val="004E2431"/>
  </w:style>
  <w:style w:type="table" w:styleId="ae">
    <w:name w:val="Table Grid"/>
    <w:basedOn w:val="a1"/>
    <w:uiPriority w:val="99"/>
    <w:locked/>
    <w:rsid w:val="000F5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-gosz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if.ekonom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Акчурина Лилия</cp:lastModifiedBy>
  <cp:revision>9</cp:revision>
  <cp:lastPrinted>2018-05-16T13:44:00Z</cp:lastPrinted>
  <dcterms:created xsi:type="dcterms:W3CDTF">2017-01-16T06:04:00Z</dcterms:created>
  <dcterms:modified xsi:type="dcterms:W3CDTF">2019-07-05T10:38:00Z</dcterms:modified>
</cp:coreProperties>
</file>