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54" w:rsidRDefault="00871E54">
      <w:pPr>
        <w:pStyle w:val="ConsPlusTitle"/>
        <w:jc w:val="center"/>
      </w:pPr>
      <w:r>
        <w:t>АРБИТРАЖНЫЙ СУД ВОЛГО-ВЯТСКОГО ОКРУГА</w:t>
      </w:r>
    </w:p>
    <w:p w:rsidR="00871E54" w:rsidRDefault="00871E54">
      <w:pPr>
        <w:pStyle w:val="ConsPlusTitle"/>
        <w:jc w:val="center"/>
      </w:pPr>
    </w:p>
    <w:p w:rsidR="00871E54" w:rsidRDefault="00871E54">
      <w:pPr>
        <w:pStyle w:val="ConsPlusTitle"/>
        <w:jc w:val="center"/>
      </w:pPr>
      <w:r>
        <w:t>ПОСТАНОВЛЕНИЕ</w:t>
      </w:r>
    </w:p>
    <w:p w:rsidR="00871E54" w:rsidRDefault="00871E54">
      <w:pPr>
        <w:pStyle w:val="ConsPlusTitle"/>
        <w:jc w:val="center"/>
      </w:pPr>
      <w:r>
        <w:t>от 17 апреля 2018 г. по делу N А38-7831/2017</w:t>
      </w:r>
    </w:p>
    <w:p w:rsidR="00871E54" w:rsidRDefault="00871E54">
      <w:pPr>
        <w:pStyle w:val="ConsPlusNormal"/>
        <w:ind w:firstLine="540"/>
        <w:jc w:val="both"/>
      </w:pPr>
    </w:p>
    <w:p w:rsidR="00871E54" w:rsidRDefault="00871E54">
      <w:pPr>
        <w:pStyle w:val="ConsPlusNormal"/>
        <w:ind w:firstLine="540"/>
        <w:jc w:val="both"/>
      </w:pPr>
      <w:r>
        <w:t>17 апреля 2018 года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(дата изготовления постановления в полном объеме)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Резолютивная часть постановления объявлена 12.04.2018.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Арбитражный суд Волго-Вятского округа в составе: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председательствующего </w:t>
      </w:r>
      <w:proofErr w:type="spellStart"/>
      <w:r>
        <w:t>Забурдаевой</w:t>
      </w:r>
      <w:proofErr w:type="spellEnd"/>
      <w:r>
        <w:t xml:space="preserve"> И.Л.,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судей </w:t>
      </w:r>
      <w:proofErr w:type="spellStart"/>
      <w:r>
        <w:t>Башевой</w:t>
      </w:r>
      <w:proofErr w:type="spellEnd"/>
      <w:r>
        <w:t xml:space="preserve"> Н.Ю., </w:t>
      </w:r>
      <w:proofErr w:type="spellStart"/>
      <w:r>
        <w:t>Радченковой</w:t>
      </w:r>
      <w:proofErr w:type="spellEnd"/>
      <w:r>
        <w:t xml:space="preserve"> Н.Ш.,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при участии представителя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от заинтересованного лица: Рыжова Д.В. (доверенность от 11.04.2018)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рассмотрел в судебном заседании кассационную жалобу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общества с ограниченной ответственностью "Диком"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на решение Арбитражного суда Республики Марий Эл от 25.10.2017,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принятое судьей </w:t>
      </w:r>
      <w:proofErr w:type="spellStart"/>
      <w:r>
        <w:t>Камаевой</w:t>
      </w:r>
      <w:proofErr w:type="spellEnd"/>
      <w:r>
        <w:t xml:space="preserve"> А.В., и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на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Первого арбитражного апелляционного суда от 22.01.2018,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принятое судьями Захаровой Т.А., Кириловой Е.А., Смирновой И.А.,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по делу N А38-7831/2017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по заявлению общества с ограниченной ответственностью "Диком"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(ИНН: 1207010159, ОГРН: 1071218001194)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к Управлению Федеральной антимонопольной службы по Республике Марий Эл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(ИНН: 1215026787, ОГРН: 1021200772251)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о признании незаконным решения,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третьи лица - Министерство спорта Республики Марий Эл,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Прокуратура Республики Марий Эл,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и</w:t>
      </w:r>
    </w:p>
    <w:p w:rsidR="00871E54" w:rsidRDefault="00871E54">
      <w:pPr>
        <w:pStyle w:val="ConsPlusNormal"/>
        <w:ind w:firstLine="540"/>
        <w:jc w:val="both"/>
      </w:pPr>
    </w:p>
    <w:p w:rsidR="00871E54" w:rsidRDefault="00871E54">
      <w:pPr>
        <w:pStyle w:val="ConsPlusNormal"/>
        <w:jc w:val="center"/>
      </w:pPr>
      <w:r>
        <w:t>установил:</w:t>
      </w:r>
    </w:p>
    <w:p w:rsidR="00871E54" w:rsidRDefault="00871E54">
      <w:pPr>
        <w:pStyle w:val="ConsPlusNormal"/>
        <w:ind w:firstLine="540"/>
        <w:jc w:val="both"/>
      </w:pPr>
    </w:p>
    <w:p w:rsidR="00871E54" w:rsidRDefault="00871E54">
      <w:pPr>
        <w:pStyle w:val="ConsPlusNormal"/>
        <w:ind w:firstLine="540"/>
        <w:jc w:val="both"/>
      </w:pPr>
      <w:r>
        <w:t>общество с ограниченной ответственностью "Диком" (далее - ООО "Диком", Общество) обратилось в Арбитражный суд Республики Марий Эл с заявлением о признании незаконным решения Управления Федеральной антимонопольной службы по Республике Марий Эл (далее - Управление, антимонопольный орган) от 22.06.2017 по делу N 02-10/07-17.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lastRenderedPageBreak/>
        <w:t>К участию в деле в качестве третьих лиц, не заявляющих самостоятельных требований относительно предмета спора, привлечены Министерство спорта Республики Марий Эл (далее - Министерство), Прокуратура Республики Марий Эл (далее - Прокуратура).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Решением суда от 25.10.2017 в удовлетворении заявленного требования отказано.</w:t>
      </w:r>
    </w:p>
    <w:p w:rsidR="00871E54" w:rsidRDefault="00B665F1">
      <w:pPr>
        <w:pStyle w:val="ConsPlusNormal"/>
        <w:spacing w:before="220"/>
        <w:ind w:firstLine="540"/>
        <w:jc w:val="both"/>
      </w:pPr>
      <w:hyperlink r:id="rId5" w:history="1">
        <w:r w:rsidR="00871E54">
          <w:rPr>
            <w:color w:val="0000FF"/>
          </w:rPr>
          <w:t>Постановлением</w:t>
        </w:r>
      </w:hyperlink>
      <w:r w:rsidR="00871E54">
        <w:t xml:space="preserve"> Первого арбитражного апелляционного суда от 22.01.2018 решение оставлено без изменения.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ООО "Диком" не согласилось с принятыми судебными актами и обратилось в Арбитражный суд Волго-Вятского округа с кассационной жалобой, в которой просит отменить их.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По мнению заявителя, суды неправильно применили положения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26.07.2006 N 135-ФЗ "О защите конкуренции" (далее - Закон о защите конкуренции),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44-ФЗ), нарушили положения Арбитражного процессуального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Федерации, сделали выводы, не соответствующие обстоятельствам дела; товары, поставленные по контрактам N 80, 83, 84, 85 и 87 не являются идентичными, что подтверждается заключением экспертизы; суд апелляционной инстанции неправомерно отказал в приобщении к материалам дела дополнительного доказательства - протокола опроса свидетеля по делу об административном правонарушении, которое подтверждает отсутствие в действиях Общества признаков нарушения </w:t>
      </w:r>
      <w:hyperlink r:id="rId9" w:history="1">
        <w:r>
          <w:rPr>
            <w:color w:val="0000FF"/>
          </w:rPr>
          <w:t>статьи 16</w:t>
        </w:r>
      </w:hyperlink>
      <w:r>
        <w:t xml:space="preserve"> Закона о защите конкуренции.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Подробно позиция заявителя изложена в кассационной жалобе и дополнении к ней.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Управление в отзыве и его представитель в судебном заседании отклонили доводы, изложенные в жалобе.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Общество и третьи лица, извещенные надлежащим образом о времени и месте рассмотрения кассационной жалобы, представителей в суд не направили.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Законность принятых Арбитражным судом Республики Марий Эл и Первым арбитражным апелляционным судом решения и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проверена Арбитражным судом Волго-Вятского округа в порядке, установленном в </w:t>
      </w:r>
      <w:hyperlink r:id="rId11" w:history="1">
        <w:r>
          <w:rPr>
            <w:color w:val="0000FF"/>
          </w:rPr>
          <w:t>статьях 274</w:t>
        </w:r>
      </w:hyperlink>
      <w:r>
        <w:t xml:space="preserve">, </w:t>
      </w:r>
      <w:hyperlink r:id="rId12" w:history="1">
        <w:r>
          <w:rPr>
            <w:color w:val="0000FF"/>
          </w:rPr>
          <w:t>284</w:t>
        </w:r>
      </w:hyperlink>
      <w:r>
        <w:t xml:space="preserve"> и </w:t>
      </w:r>
      <w:hyperlink r:id="rId13" w:history="1">
        <w:r>
          <w:rPr>
            <w:color w:val="0000FF"/>
          </w:rPr>
          <w:t>286</w:t>
        </w:r>
      </w:hyperlink>
      <w:r>
        <w:t xml:space="preserve"> Арбитражного процессуального кодекса Российской Федерации.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Как следует из материалов дела, в Управление 01.12.2016 поступило обращение Прокуратуры о выявлении фактов необоснованного дробления закупок для государственных нужд и нарушении Министерством антимонопольного законодательства, выразившемся в избрании неконкурентного способа определения поставщика с нарушением специальных норм,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N 44-ФЗ. В целях проверки поступившей информации Управление возбудило дело N 02-10/07-17.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При проведении проверки Управление установило, что постановлением Правительства Республики Марий Эл от 30.11.2012 N 449 утверждена государственная </w:t>
      </w:r>
      <w:hyperlink r:id="rId15" w:history="1">
        <w:r>
          <w:rPr>
            <w:color w:val="0000FF"/>
          </w:rPr>
          <w:t>программа</w:t>
        </w:r>
      </w:hyperlink>
      <w:r>
        <w:t xml:space="preserve"> Республики Марий Эл "Развитие физической культуры и спорта в Республике Марий Эл на 2013 - 2020 годы", в которую включен объект "Стадион в </w:t>
      </w:r>
      <w:proofErr w:type="spellStart"/>
      <w:r>
        <w:t>пгт</w:t>
      </w:r>
      <w:proofErr w:type="spellEnd"/>
      <w:r>
        <w:t xml:space="preserve">. Новый </w:t>
      </w:r>
      <w:proofErr w:type="spellStart"/>
      <w:r>
        <w:t>Торъял</w:t>
      </w:r>
      <w:proofErr w:type="spellEnd"/>
      <w:r>
        <w:t>".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Постановлением Правительства Республики Марий Эл от 17.07.2015 N 388 "Вопросы строительства объекта "Стадион в </w:t>
      </w:r>
      <w:proofErr w:type="spellStart"/>
      <w:r>
        <w:t>пгт</w:t>
      </w:r>
      <w:proofErr w:type="spellEnd"/>
      <w:r>
        <w:t xml:space="preserve">. Новый </w:t>
      </w:r>
      <w:proofErr w:type="spellStart"/>
      <w:r>
        <w:t>Торъял</w:t>
      </w:r>
      <w:proofErr w:type="spellEnd"/>
      <w:r>
        <w:t>" до Министерства доведены лимиты бюджетных обязательств для приобретения спортивного инвентаря.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Министерство и ООО "Диком" 13.08.2015 заключили 8 контрактов на поставку спортивного инвентаря для стадиона МБОУ "</w:t>
      </w:r>
      <w:proofErr w:type="spellStart"/>
      <w:r>
        <w:t>Новоторъяльская</w:t>
      </w:r>
      <w:proofErr w:type="spellEnd"/>
      <w:r>
        <w:t xml:space="preserve"> средняя школа": N 80 на поставку ворот футбольных на стадион в </w:t>
      </w:r>
      <w:proofErr w:type="spellStart"/>
      <w:r>
        <w:t>пгт</w:t>
      </w:r>
      <w:proofErr w:type="spellEnd"/>
      <w:r>
        <w:t xml:space="preserve">. Новый </w:t>
      </w:r>
      <w:proofErr w:type="spellStart"/>
      <w:r>
        <w:t>Торъял</w:t>
      </w:r>
      <w:proofErr w:type="spellEnd"/>
      <w:r>
        <w:t xml:space="preserve">, стоимостью 98 000 рублей; N 81 на поставку щита </w:t>
      </w:r>
      <w:r>
        <w:lastRenderedPageBreak/>
        <w:t xml:space="preserve">баскетбольного на стадион в </w:t>
      </w:r>
      <w:proofErr w:type="spellStart"/>
      <w:r>
        <w:t>пгт</w:t>
      </w:r>
      <w:proofErr w:type="spellEnd"/>
      <w:r>
        <w:t xml:space="preserve">. Новый </w:t>
      </w:r>
      <w:proofErr w:type="spellStart"/>
      <w:r>
        <w:t>Торъял</w:t>
      </w:r>
      <w:proofErr w:type="spellEnd"/>
      <w:r>
        <w:t xml:space="preserve">, стоимостью 87 200 рублей; N 82 на поставку стоек баскетбольных на стадион в </w:t>
      </w:r>
      <w:proofErr w:type="spellStart"/>
      <w:r>
        <w:t>пгт</w:t>
      </w:r>
      <w:proofErr w:type="spellEnd"/>
      <w:r>
        <w:t xml:space="preserve">. Новый </w:t>
      </w:r>
      <w:proofErr w:type="spellStart"/>
      <w:r>
        <w:t>Торъял</w:t>
      </w:r>
      <w:proofErr w:type="spellEnd"/>
      <w:r>
        <w:t xml:space="preserve">, стоимостью 98 000 рублей; N 83 на поставку комплекта волейбольного на стадион в </w:t>
      </w:r>
      <w:proofErr w:type="spellStart"/>
      <w:r>
        <w:t>пгт</w:t>
      </w:r>
      <w:proofErr w:type="spellEnd"/>
      <w:r>
        <w:t xml:space="preserve">. Новый </w:t>
      </w:r>
      <w:proofErr w:type="spellStart"/>
      <w:r>
        <w:t>Торъял</w:t>
      </w:r>
      <w:proofErr w:type="spellEnd"/>
      <w:r>
        <w:t xml:space="preserve">, стоимостью 98 000 рублей; N 84 на поставку комплекта хоккейных ворот на стадион в </w:t>
      </w:r>
      <w:proofErr w:type="spellStart"/>
      <w:r>
        <w:t>пгт</w:t>
      </w:r>
      <w:proofErr w:type="spellEnd"/>
      <w:r>
        <w:t xml:space="preserve">. Новый </w:t>
      </w:r>
      <w:proofErr w:type="spellStart"/>
      <w:r>
        <w:t>Торъял</w:t>
      </w:r>
      <w:proofErr w:type="spellEnd"/>
      <w:r>
        <w:t xml:space="preserve">, стоимостью 98 000 рублей; N 85 на поставку сетчатых ограждений хоккейной коробки на стадион в </w:t>
      </w:r>
      <w:proofErr w:type="spellStart"/>
      <w:r>
        <w:t>пгт</w:t>
      </w:r>
      <w:proofErr w:type="spellEnd"/>
      <w:r>
        <w:t xml:space="preserve">. Новый </w:t>
      </w:r>
      <w:proofErr w:type="spellStart"/>
      <w:r>
        <w:t>Торъял</w:t>
      </w:r>
      <w:proofErr w:type="spellEnd"/>
      <w:r>
        <w:t xml:space="preserve">, стоимостью 98 000 рублей; N 86 на поставку стойки крепления </w:t>
      </w:r>
      <w:proofErr w:type="spellStart"/>
      <w:r>
        <w:t>шайбоуловителя</w:t>
      </w:r>
      <w:proofErr w:type="spellEnd"/>
      <w:r>
        <w:t xml:space="preserve"> хоккейной коробки на стадион в </w:t>
      </w:r>
      <w:proofErr w:type="spellStart"/>
      <w:r>
        <w:t>пгт</w:t>
      </w:r>
      <w:proofErr w:type="spellEnd"/>
      <w:r>
        <w:t xml:space="preserve">. Новый </w:t>
      </w:r>
      <w:proofErr w:type="spellStart"/>
      <w:r>
        <w:t>Торъял</w:t>
      </w:r>
      <w:proofErr w:type="spellEnd"/>
      <w:r>
        <w:t xml:space="preserve">, стоимостью 98 000 рублей; N 87 на поставку щита баскетбольного на стадион в </w:t>
      </w:r>
      <w:proofErr w:type="spellStart"/>
      <w:r>
        <w:t>пгт</w:t>
      </w:r>
      <w:proofErr w:type="spellEnd"/>
      <w:r>
        <w:t xml:space="preserve">. Новый </w:t>
      </w:r>
      <w:proofErr w:type="spellStart"/>
      <w:r>
        <w:t>Торъял</w:t>
      </w:r>
      <w:proofErr w:type="spellEnd"/>
      <w:r>
        <w:t>, стоимостью 87 200 рублей.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Таким образом, 13.08.2015 Министерство и Общество заключили 8 контрактов на поставку спортивного инвентаря на общую сумму 762 400 рублей.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По окончании проверки комиссия Управления приняла решение от 22.06.2017 по делу N 02-10/07-17, в соответствии с которым признала действия Министерства и ООО "Диком" по заключению 13.08.2015 контрактов на поставку спортивного инвентаря для стадиона МБОУ "</w:t>
      </w:r>
      <w:proofErr w:type="spellStart"/>
      <w:r>
        <w:t>Новоторъяльская</w:t>
      </w:r>
      <w:proofErr w:type="spellEnd"/>
      <w:r>
        <w:t xml:space="preserve"> средняя школа" без проведения конкурентных процедур, нарушающими </w:t>
      </w:r>
      <w:hyperlink r:id="rId16" w:history="1">
        <w:r>
          <w:rPr>
            <w:color w:val="0000FF"/>
          </w:rPr>
          <w:t>статью 16</w:t>
        </w:r>
      </w:hyperlink>
      <w:r>
        <w:t xml:space="preserve"> Закона о защите конкуренции (пункт 1); в пункте 2 предусмотрела не выдавать предписание о прекращении нарушения антимонопольного законодательства; в силу пункта 3 решила передать материалы дела уполномоченному должностному лицу для рассмотрения вопроса о возбуждении административного производства в отношении лиц, допустивших нарушение.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Общество не согласилось с решением антимонопольного органа и обратилось в арбитражный суд с соответствующим заявлением.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17" w:history="1">
        <w:r>
          <w:rPr>
            <w:color w:val="0000FF"/>
          </w:rPr>
          <w:t>статьями 65</w:t>
        </w:r>
      </w:hyperlink>
      <w:r>
        <w:t xml:space="preserve">, </w:t>
      </w:r>
      <w:hyperlink r:id="rId18" w:history="1">
        <w:r>
          <w:rPr>
            <w:color w:val="0000FF"/>
          </w:rPr>
          <w:t>71</w:t>
        </w:r>
      </w:hyperlink>
      <w:r>
        <w:t xml:space="preserve">, </w:t>
      </w:r>
      <w:hyperlink r:id="rId19" w:history="1">
        <w:r>
          <w:rPr>
            <w:color w:val="0000FF"/>
          </w:rPr>
          <w:t>162</w:t>
        </w:r>
      </w:hyperlink>
      <w:r>
        <w:t xml:space="preserve">, </w:t>
      </w:r>
      <w:hyperlink r:id="rId20" w:history="1">
        <w:r>
          <w:rPr>
            <w:color w:val="0000FF"/>
          </w:rPr>
          <w:t>частью 1 статьи 198</w:t>
        </w:r>
      </w:hyperlink>
      <w:r>
        <w:t xml:space="preserve">, </w:t>
      </w:r>
      <w:hyperlink r:id="rId21" w:history="1">
        <w:r>
          <w:rPr>
            <w:color w:val="0000FF"/>
          </w:rPr>
          <w:t>частью 4 статьи 200</w:t>
        </w:r>
      </w:hyperlink>
      <w:r>
        <w:t xml:space="preserve">, </w:t>
      </w:r>
      <w:hyperlink r:id="rId22" w:history="1">
        <w:r>
          <w:rPr>
            <w:color w:val="0000FF"/>
          </w:rPr>
          <w:t>частью 3 статьи 201</w:t>
        </w:r>
      </w:hyperlink>
      <w:r>
        <w:t xml:space="preserve"> Арбитражного процессуального кодекса Российской Федерации, </w:t>
      </w:r>
      <w:hyperlink r:id="rId23" w:history="1">
        <w:r>
          <w:rPr>
            <w:color w:val="0000FF"/>
          </w:rPr>
          <w:t>статьями 420</w:t>
        </w:r>
      </w:hyperlink>
      <w:r>
        <w:t xml:space="preserve">, </w:t>
      </w:r>
      <w:hyperlink r:id="rId24" w:history="1">
        <w:r>
          <w:rPr>
            <w:color w:val="0000FF"/>
          </w:rPr>
          <w:t>422</w:t>
        </w:r>
      </w:hyperlink>
      <w:r>
        <w:t xml:space="preserve"> Гражданского кодекса Российской Федерации, </w:t>
      </w:r>
      <w:hyperlink r:id="rId25" w:history="1">
        <w:r>
          <w:rPr>
            <w:color w:val="0000FF"/>
          </w:rPr>
          <w:t>статьей 34</w:t>
        </w:r>
      </w:hyperlink>
      <w:r>
        <w:t xml:space="preserve"> Бюджетного кодекса Российской Федерации, </w:t>
      </w:r>
      <w:hyperlink r:id="rId26" w:history="1">
        <w:r>
          <w:rPr>
            <w:color w:val="0000FF"/>
          </w:rPr>
          <w:t>статьями 4</w:t>
        </w:r>
      </w:hyperlink>
      <w:r>
        <w:t xml:space="preserve">, </w:t>
      </w:r>
      <w:hyperlink r:id="rId27" w:history="1">
        <w:r>
          <w:rPr>
            <w:color w:val="0000FF"/>
          </w:rPr>
          <w:t>16</w:t>
        </w:r>
      </w:hyperlink>
      <w:r>
        <w:t xml:space="preserve">, </w:t>
      </w:r>
      <w:hyperlink r:id="rId28" w:history="1">
        <w:r>
          <w:rPr>
            <w:color w:val="0000FF"/>
          </w:rPr>
          <w:t>22</w:t>
        </w:r>
      </w:hyperlink>
      <w:r>
        <w:t xml:space="preserve">, </w:t>
      </w:r>
      <w:hyperlink r:id="rId29" w:history="1">
        <w:r>
          <w:rPr>
            <w:color w:val="0000FF"/>
          </w:rPr>
          <w:t>23</w:t>
        </w:r>
      </w:hyperlink>
      <w:r>
        <w:t xml:space="preserve">, </w:t>
      </w:r>
      <w:hyperlink r:id="rId30" w:history="1">
        <w:r>
          <w:rPr>
            <w:color w:val="0000FF"/>
          </w:rPr>
          <w:t>42</w:t>
        </w:r>
      </w:hyperlink>
      <w:r>
        <w:t xml:space="preserve">, </w:t>
      </w:r>
      <w:hyperlink r:id="rId31" w:history="1">
        <w:r>
          <w:rPr>
            <w:color w:val="0000FF"/>
          </w:rPr>
          <w:t>45</w:t>
        </w:r>
      </w:hyperlink>
      <w:r>
        <w:t xml:space="preserve"> Закона о защите конкуренции, </w:t>
      </w:r>
      <w:hyperlink r:id="rId32" w:history="1">
        <w:r>
          <w:rPr>
            <w:color w:val="0000FF"/>
          </w:rPr>
          <w:t>статьями 1</w:t>
        </w:r>
      </w:hyperlink>
      <w:r>
        <w:t xml:space="preserve">, </w:t>
      </w:r>
      <w:hyperlink r:id="rId33" w:history="1">
        <w:r>
          <w:rPr>
            <w:color w:val="0000FF"/>
          </w:rPr>
          <w:t>3</w:t>
        </w:r>
      </w:hyperlink>
      <w:r>
        <w:t xml:space="preserve">, </w:t>
      </w:r>
      <w:hyperlink r:id="rId34" w:history="1">
        <w:r>
          <w:rPr>
            <w:color w:val="0000FF"/>
          </w:rPr>
          <w:t>6</w:t>
        </w:r>
      </w:hyperlink>
      <w:r>
        <w:t xml:space="preserve">, </w:t>
      </w:r>
      <w:hyperlink r:id="rId35" w:history="1">
        <w:r>
          <w:rPr>
            <w:color w:val="0000FF"/>
          </w:rPr>
          <w:t>8</w:t>
        </w:r>
      </w:hyperlink>
      <w:r>
        <w:t xml:space="preserve">, </w:t>
      </w:r>
      <w:hyperlink r:id="rId36" w:history="1">
        <w:r>
          <w:rPr>
            <w:color w:val="0000FF"/>
          </w:rPr>
          <w:t>24</w:t>
        </w:r>
      </w:hyperlink>
      <w:r>
        <w:t xml:space="preserve">, </w:t>
      </w:r>
      <w:hyperlink r:id="rId37" w:history="1">
        <w:r>
          <w:rPr>
            <w:color w:val="0000FF"/>
          </w:rPr>
          <w:t>93</w:t>
        </w:r>
      </w:hyperlink>
      <w:r>
        <w:t xml:space="preserve"> Федерального закона N 44-ФЗ, суд первой инстанции отказал в удовлетворении заявленного требования.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Первый арбитражный апелляционный суд оставил решение суда без изменения.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Рассмотрев кассационные жалобы, Арбитражный суд Волго-Вятского округа не нашел оснований для отмены принятых судебных актов.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должностных лиц, если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 (</w:t>
      </w:r>
      <w:hyperlink r:id="rId38" w:history="1">
        <w:r>
          <w:rPr>
            <w:color w:val="0000FF"/>
          </w:rPr>
          <w:t>часть 1 статьи 198</w:t>
        </w:r>
      </w:hyperlink>
      <w:r>
        <w:t xml:space="preserve"> Арбитражного процессуального кодекса Российской Федерации).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39" w:history="1">
        <w:r>
          <w:rPr>
            <w:color w:val="0000FF"/>
          </w:rPr>
          <w:t>статьей 16</w:t>
        </w:r>
      </w:hyperlink>
      <w:r>
        <w:t xml:space="preserve"> Закона о защите конкуренции запрещаются соглашения между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действий, если такие соглашения или такое осуществление согласованных действий приводят или могут привести к недопущению, ограничению, устранению конкуренции.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lastRenderedPageBreak/>
        <w:t xml:space="preserve">Для квалификации действий хозяйствующего субъекта и государственных органов как не соответствующих </w:t>
      </w:r>
      <w:hyperlink r:id="rId40" w:history="1">
        <w:r>
          <w:rPr>
            <w:color w:val="0000FF"/>
          </w:rPr>
          <w:t>статье 16</w:t>
        </w:r>
      </w:hyperlink>
      <w:r>
        <w:t xml:space="preserve"> Закона о защите конкуренции необходимо установить наличие противоречащих закону соглашения между указанными лицами или их согласованных действий и наступление (возможность наступления) в результате этих действий (соглашения) последствий, связанных с недопущением, ограничением, устранением конкуренции.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Соглашение - договоренность в письменной форме, содержащаяся в документе или нескольких документах, а также договоренность в устной форме (</w:t>
      </w:r>
      <w:hyperlink r:id="rId41" w:history="1">
        <w:r>
          <w:rPr>
            <w:color w:val="0000FF"/>
          </w:rPr>
          <w:t>пункт 18 статьи 4</w:t>
        </w:r>
      </w:hyperlink>
      <w:r>
        <w:t xml:space="preserve"> Закона о защите конкуренции).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Признаками ограничения конкуренции являются сокращение числа хозяйствующих субъектов, не входящих в одну группу лиц, на товарном рынке, рост или снижение цены товара, не связанные с соответствующими изменениями иных общих условий обращения товара на товарном рынке, отказ хозяйствующих субъектов, не входящих в одну группу лиц, от самостоятельных действий на товарном рынке,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субъектами, не входящими в одну группу лиц, своих действий на товарном рынке, иные обстоятельства,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рынке, а также установление органами государственной власти, органами местного самоуправления, организациями, участвующими в предоставлении государственных или муниципальных услуг, при участии в предоставлении таких услуг требований к товарам или к хозяйствующим субъектам, не предусмотренных законодательством Российской Федерации (</w:t>
      </w:r>
      <w:hyperlink r:id="rId42" w:history="1">
        <w:r>
          <w:rPr>
            <w:color w:val="0000FF"/>
          </w:rPr>
          <w:t>пункт 17 статьи 4</w:t>
        </w:r>
      </w:hyperlink>
      <w:r>
        <w:t xml:space="preserve"> Закона о защите конкуренции).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N 44-ФЗ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 (</w:t>
      </w:r>
      <w:hyperlink r:id="rId44" w:history="1">
        <w:r>
          <w:rPr>
            <w:color w:val="0000FF"/>
          </w:rPr>
          <w:t>часть 1 статьи 24</w:t>
        </w:r>
      </w:hyperlink>
      <w:r>
        <w:t xml:space="preserve"> Федерального закона N 44-ФЗ).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Конкурентными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(аукцион в электронной форме (далее также - электронный аукцион), закрытый аукцион), запрос котировок, запрос предложений (</w:t>
      </w:r>
      <w:hyperlink r:id="rId45" w:history="1">
        <w:r>
          <w:rPr>
            <w:color w:val="0000FF"/>
          </w:rPr>
          <w:t>часть 2 статьи 24</w:t>
        </w:r>
      </w:hyperlink>
      <w:r>
        <w:t xml:space="preserve"> Федерального закона N 44-ФЗ).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В силу </w:t>
      </w:r>
      <w:hyperlink r:id="rId46" w:history="1">
        <w:r>
          <w:rPr>
            <w:color w:val="0000FF"/>
          </w:rPr>
          <w:t>части 5 статьи 24</w:t>
        </w:r>
      </w:hyperlink>
      <w:r>
        <w:t xml:space="preserve"> Федерального закона N 44-ФЗ заказчик выбирает способ определения поставщика (подрядчика, исполнителя) в соответствии с положениями </w:t>
      </w:r>
      <w:hyperlink r:id="rId47" w:history="1">
        <w:r>
          <w:rPr>
            <w:color w:val="0000FF"/>
          </w:rPr>
          <w:t>главы 3</w:t>
        </w:r>
      </w:hyperlink>
      <w:r>
        <w:t xml:space="preserve"> данного закона. При этом он не вправе совершать действия, влекущие за собой необоснованное сокращение числа участников закупки.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Закупка у единственного поставщика не относится к конкурентным способам закупки, а, следовательно, применение такого метода закупок должно осуществляться исключительно в случаях, установленных законом.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Такие случаи предусмотрены </w:t>
      </w:r>
      <w:hyperlink r:id="rId48" w:history="1">
        <w:r>
          <w:rPr>
            <w:color w:val="0000FF"/>
          </w:rPr>
          <w:t>статьей 93</w:t>
        </w:r>
      </w:hyperlink>
      <w:r>
        <w:t xml:space="preserve"> Федерального закона N 44-ФЗ.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49" w:history="1">
        <w:r>
          <w:rPr>
            <w:color w:val="0000FF"/>
          </w:rPr>
          <w:t>пунктом 4 части 1 статьи 93</w:t>
        </w:r>
      </w:hyperlink>
      <w:r>
        <w:t xml:space="preserve"> Федерального закона N 44-ФЗ закупка у </w:t>
      </w:r>
      <w:r>
        <w:lastRenderedPageBreak/>
        <w:t xml:space="preserve">единственного поставщика (подрядчика, исполнителя) может осуществляться заказчиком в случае осуществления закупки товара, работы или услуги на сумму, не превышающую ста тысяч рублей. При этом годовой объем закупок, которые заказчик вправе осуществить на основании данного </w:t>
      </w:r>
      <w:hyperlink r:id="rId50" w:history="1">
        <w:r>
          <w:rPr>
            <w:color w:val="0000FF"/>
          </w:rPr>
          <w:t>пункта</w:t>
        </w:r>
      </w:hyperlink>
      <w:r>
        <w:t>,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Суды обоснованно указали, что в </w:t>
      </w:r>
      <w:hyperlink r:id="rId51" w:history="1">
        <w:r>
          <w:rPr>
            <w:color w:val="0000FF"/>
          </w:rPr>
          <w:t>пункте 4 части 1 статьи 93</w:t>
        </w:r>
      </w:hyperlink>
      <w:r>
        <w:t xml:space="preserve"> Федерального закона N 44-ФЗ не содержится каких-либо ограничений в количестве договоров, не превышающих 100 000 рублей, в том числе по одному и тому же товару у одного и того же поставщика, которые могут быть заключены в течение какого-либо календарного периода времени (квартал, месяц, день).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Вместе с тем, по своему содержанию указанная правовая норма предусматривает для заказчика возможность заключения закупок "малого объема" в случаях, когда проведение процедур конкурентного отбора нецелесообразно ввиду несоответствия организационных затрат на проведение закупки самой стоимости закупки.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Искусственное "дробление" единой закупки на множество закупок до 100 000 рублей каждая в целях </w:t>
      </w:r>
      <w:proofErr w:type="spellStart"/>
      <w:r>
        <w:t>избежания</w:t>
      </w:r>
      <w:proofErr w:type="spellEnd"/>
      <w:r>
        <w:t xml:space="preserve"> публичных процедур не соответствует целям введения такой возможности заключения контракта без проведения конкурентных процедур.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Как установили суды и видно из материалов дела, в течение одного дня 13.08.2015 Министерство и ООО "Диком" заключили 8 контрактов N 80, 81, 82, 83, 84, 85, 86 и 87 на поставку спортивного инвентаря для стадиона МБОУ "</w:t>
      </w:r>
      <w:proofErr w:type="spellStart"/>
      <w:r>
        <w:t>Новоторъяльская</w:t>
      </w:r>
      <w:proofErr w:type="spellEnd"/>
      <w:r>
        <w:t xml:space="preserve"> средняя школа" на общую сумму 762 400 рублей.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Предметом всех контрактов являлась поставка различного вида спортивного оборудования для одного стадиона МБОУ "</w:t>
      </w:r>
      <w:proofErr w:type="spellStart"/>
      <w:r>
        <w:t>Новоторъяльская</w:t>
      </w:r>
      <w:proofErr w:type="spellEnd"/>
      <w:r>
        <w:t xml:space="preserve"> средняя школа".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Поставленные по контрактам товары имеют идентичные признаки по эксплуатационному назначению, указанное оборудование предназначено для спортивных игр.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При этом по отдельным контрактам закупались два баскетбольных щита (контракты N 81 и 87) и баскетбольные стойки, на которые эти щиты крепятся (контракт N 82). По отдельным контрактам закупалось спортивное оборудование для хоккейной коробки: комплект хоккейных ворот (контракт N 84), сетчатые ограждения хоккейной коробки (контракт N 85), стойки крепления </w:t>
      </w:r>
      <w:proofErr w:type="spellStart"/>
      <w:r>
        <w:t>шайбоуловителя</w:t>
      </w:r>
      <w:proofErr w:type="spellEnd"/>
      <w:r>
        <w:t xml:space="preserve"> хоккейной коробки (контракт N 86). Также в самостоятельные контракты были выделены поставка ворот футбольных (контракт N 80) и комплекта волейбольного (контракт N 83).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Согласно Общероссийскому классификатору продукции по видам экономической деятельности (ОКПД) спортивный инвентарь относится к одному подклассу - Товары спортивные (код ОКПД </w:t>
      </w:r>
      <w:hyperlink r:id="rId52" w:history="1">
        <w:r>
          <w:rPr>
            <w:color w:val="0000FF"/>
          </w:rPr>
          <w:t>32.3</w:t>
        </w:r>
      </w:hyperlink>
      <w:r>
        <w:t xml:space="preserve">), одной группе - Товары спортивные (код ОКПД </w:t>
      </w:r>
      <w:hyperlink r:id="rId53" w:history="1">
        <w:r>
          <w:rPr>
            <w:color w:val="0000FF"/>
          </w:rPr>
          <w:t>32.30</w:t>
        </w:r>
      </w:hyperlink>
      <w:r>
        <w:t xml:space="preserve">), к одному виду - Снаряды, инвентарь и оборудование прочее для занятия спортом или для игр на открытом воздухе (код ОКПД </w:t>
      </w:r>
      <w:hyperlink r:id="rId54" w:history="1">
        <w:r>
          <w:rPr>
            <w:color w:val="0000FF"/>
          </w:rPr>
          <w:t>32.30.15</w:t>
        </w:r>
      </w:hyperlink>
      <w:r>
        <w:t>).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Исследовав и оценив представленные в материалы дела документы по правилам, установленным в </w:t>
      </w:r>
      <w:hyperlink r:id="rId55" w:history="1">
        <w:r>
          <w:rPr>
            <w:color w:val="0000FF"/>
          </w:rPr>
          <w:t>статье 71</w:t>
        </w:r>
      </w:hyperlink>
      <w:r>
        <w:t xml:space="preserve"> Арбитражного процессуального кодекса Российской Федерации, приняв во внимание тождественность предметов контрактов, временной интервал, в течение которого были заключены соглашения (все контракты заключены в один день), единую цель контрактов - поставка спортивного инвентаря для одного конкретного стадиона, исполнение контрактов со стороны поставщика в день заключения договоров (13.08.2015), суды пришли к выводу о том, что рассматриваемая закупка намеренно была разбита Министерством и Обществом на 8 контрактов на сумму до 100 000 рублей каждый в целях обеспечения формальной возможности </w:t>
      </w:r>
      <w:proofErr w:type="spellStart"/>
      <w:r>
        <w:t>непроведения</w:t>
      </w:r>
      <w:proofErr w:type="spellEnd"/>
      <w:r>
        <w:t xml:space="preserve"> конкурентных процедур и заключения контрактов с единственным поставщиком.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lastRenderedPageBreak/>
        <w:t xml:space="preserve">Фактически все контракты от 13.08.2015 (N 80, 81, 82, 83, 84, 85, 86 и 87) образуют единую сделку, искусственно раздробленную и оформленную 8 самостоятельными контрактами для формального соблюдения ограничений, предусмотренных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Как установили суды, на момент подписания контрактов у Министерства имелась необходимость в поставке спортивного инвентаря на общую сумму 762 400 рублей, что превышает предельно допустимый размер стоимости поставляемых товаров, при размещении которого его стороны вправе заключить гражданско-правовой договор без проведения процедур, предусмотренных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N 44-ФЗ.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Препятствий для своевременного проведения конкурентных процедур суды не выявили.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Суды установили, что Министерство располагало достаточным количеством времени, чтобы с момента доведения лимитов бюджетных обязательств (17.07.2015) провести закупку с использованием конкурентных процедур и оборудовать стадион к началу учебного года (01.09.2015).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Отсутствие публичных процедур не привело к эффективному использованию бюджетных средств, предполагающему, в том числе,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(</w:t>
      </w:r>
      <w:hyperlink r:id="rId58" w:history="1">
        <w:r>
          <w:rPr>
            <w:color w:val="0000FF"/>
          </w:rPr>
          <w:t>статья 34</w:t>
        </w:r>
      </w:hyperlink>
      <w:r>
        <w:t xml:space="preserve"> Бюджетного кодекса Российской Федерации).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В результате заключения Министерством контрактов с ООО "Диком" как с единственным поставщиком Общество получило доступ к поставке товара по максимально возможной цене без участия в какой-либо конкурентной борьбе, без подачи предложений о снижении цены контракта.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Заключение договора с единственным поставщиком и отсутствие конкурентных процедур способствовало созданию преимущественного положения единственного поставщика и лишило возможности других хозяйствующих субъектов, осуществляющих аналогичную деятельность, реализовать свое право на заключение контракта.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При этом суды установили, что рынок услуг, связанных с поставкой спортивного оборудования, на территории Республики Марий Эл, а также на территории иных субъектов Российской Федерации не является закрытым и ограниченным (ООО "АПЛАМ", г. Казань, ООО "ТРИ ЭС", г. Зеленодольск, ООО "Сапсан </w:t>
      </w:r>
      <w:proofErr w:type="spellStart"/>
      <w:r>
        <w:t>Глобал</w:t>
      </w:r>
      <w:proofErr w:type="spellEnd"/>
      <w:r>
        <w:t>", г. Пенза).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Несоблюдение процедуры закупок нарушило права иных хозяйствующих субъектов - участников данного товарного рынка, с которыми государственный контракт не заключен вследствие предоставления преимущества ООО "Диком".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Оценив имеющиеся в деле доказательства в их совокупности и взаимосвязи, суды пришли к правильному выводу о доказанности Управлением нарушения Министерством и ООО "Диком" запретов, установленных в </w:t>
      </w:r>
      <w:hyperlink r:id="rId59" w:history="1">
        <w:r>
          <w:rPr>
            <w:color w:val="0000FF"/>
          </w:rPr>
          <w:t>статье 16</w:t>
        </w:r>
      </w:hyperlink>
      <w:r>
        <w:t xml:space="preserve"> Закона о защите конкуренции.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Выводы судов основаны на полном, всестороннем и объективном исследовании представленных в дело доказательств и не противоречат им.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С учетом изложенного суды правомерно отказали Обществу в удовлетворении заявленного требования.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Ссылка заявителя на отказ апелляционного суда в приобщении к материалам дела дополнительного доказательства (протокола опроса свидетеля по делу об административном правонарушении) признается несостоятельной, поскольку ходатайство Общества рассмотрено апелляционным судом по правилам, установленным в </w:t>
      </w:r>
      <w:hyperlink r:id="rId60" w:history="1">
        <w:r>
          <w:rPr>
            <w:color w:val="0000FF"/>
          </w:rPr>
          <w:t>статьях 68</w:t>
        </w:r>
      </w:hyperlink>
      <w:r>
        <w:t xml:space="preserve">, </w:t>
      </w:r>
      <w:hyperlink r:id="rId61" w:history="1">
        <w:r>
          <w:rPr>
            <w:color w:val="0000FF"/>
          </w:rPr>
          <w:t>268</w:t>
        </w:r>
      </w:hyperlink>
      <w:r>
        <w:t xml:space="preserve"> Арбитражного процессуального кодекса Российской Федерации и правомерно отклонено.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lastRenderedPageBreak/>
        <w:t xml:space="preserve">Доводы, изложенные в кассационной жалобе, были предметом рассмотрения в судебных инстанциях, получили надлежащую правовую оценку, не опровергают выводов судов и направлены на переоценку доказательств и установленных судами фактических обстоятельств дела, что в силу </w:t>
      </w:r>
      <w:hyperlink r:id="rId62" w:history="1">
        <w:r>
          <w:rPr>
            <w:color w:val="0000FF"/>
          </w:rPr>
          <w:t>статьи 286</w:t>
        </w:r>
      </w:hyperlink>
      <w:r>
        <w:t xml:space="preserve"> Арбитражного процессуального кодекса Российской Федерации не входит в компетенцию суда кассационной инстанции.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Арбитражный суд Республики Марий Эл и Первый арбитражный апелляционный суд правильно применили нормы материального права и не допустили нарушений норм процессуального права, являющихся в любом случае основаниями для отмены принятых судебных актов в силу </w:t>
      </w:r>
      <w:hyperlink r:id="rId63" w:history="1">
        <w:r>
          <w:rPr>
            <w:color w:val="0000FF"/>
          </w:rPr>
          <w:t>части 4 статьи 288</w:t>
        </w:r>
      </w:hyperlink>
      <w:r>
        <w:t xml:space="preserve"> Арбитражного процессуального кодекса Российской Федерации.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Кассационная жалоба не подлежит удовлетворению.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64" w:history="1">
        <w:r>
          <w:rPr>
            <w:color w:val="0000FF"/>
          </w:rPr>
          <w:t>статьей 110</w:t>
        </w:r>
      </w:hyperlink>
      <w:r>
        <w:t xml:space="preserve"> Арбитражного процессуального кодекса Российской Федерации расходы по уплате государственной пошлины за рассмотрение кассационной жалобы относятся на заявителя.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65" w:history="1">
        <w:r>
          <w:rPr>
            <w:color w:val="0000FF"/>
          </w:rPr>
          <w:t>статьями 287 (пунктом 1 части 1)</w:t>
        </w:r>
      </w:hyperlink>
      <w:r>
        <w:t xml:space="preserve"> и </w:t>
      </w:r>
      <w:hyperlink r:id="rId66" w:history="1">
        <w:r>
          <w:rPr>
            <w:color w:val="0000FF"/>
          </w:rPr>
          <w:t>289</w:t>
        </w:r>
      </w:hyperlink>
      <w:r>
        <w:t xml:space="preserve"> Арбитражного процессуального кодекса Российской Федерации, Арбитражный суд Волго-Вятского округа</w:t>
      </w:r>
    </w:p>
    <w:p w:rsidR="00871E54" w:rsidRDefault="00871E54">
      <w:pPr>
        <w:pStyle w:val="ConsPlusNormal"/>
        <w:ind w:firstLine="540"/>
        <w:jc w:val="both"/>
      </w:pPr>
    </w:p>
    <w:p w:rsidR="00871E54" w:rsidRDefault="00871E54">
      <w:pPr>
        <w:pStyle w:val="ConsPlusNormal"/>
        <w:jc w:val="center"/>
      </w:pPr>
      <w:r>
        <w:t>постановил:</w:t>
      </w:r>
    </w:p>
    <w:p w:rsidR="00871E54" w:rsidRDefault="00871E5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71E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71E54" w:rsidRDefault="00871E54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71E54" w:rsidRDefault="00871E54">
            <w:pPr>
              <w:pStyle w:val="ConsPlusNormal"/>
              <w:jc w:val="both"/>
            </w:pPr>
            <w:r>
              <w:rPr>
                <w:color w:val="392C69"/>
              </w:rPr>
              <w:t>В тексте документа, видимо, допущена опечатка: имеется в виду решение Арбитражного суда Республики Марий Эл по делу N А38-7831/2017 от 25.10.2017, а не от 25.10.2016.</w:t>
            </w:r>
          </w:p>
        </w:tc>
      </w:tr>
    </w:tbl>
    <w:p w:rsidR="00871E54" w:rsidRDefault="00871E54">
      <w:pPr>
        <w:pStyle w:val="ConsPlusNormal"/>
        <w:spacing w:before="280"/>
        <w:ind w:firstLine="540"/>
        <w:jc w:val="both"/>
      </w:pPr>
      <w:r>
        <w:t xml:space="preserve">решение Арбитражного суда Республики Марий Эл от 25.10.2016 и </w:t>
      </w:r>
      <w:hyperlink r:id="rId67" w:history="1">
        <w:r>
          <w:rPr>
            <w:color w:val="0000FF"/>
          </w:rPr>
          <w:t>постановление</w:t>
        </w:r>
      </w:hyperlink>
      <w:r>
        <w:t xml:space="preserve"> Первого арбитражного апелляционного суда от 22.01.2018 по делу N А38-7831/2017 оставить без изменения, кассационную жалобу общества с ограниченной ответственностью "Диком" - без удовлетворения.</w:t>
      </w:r>
    </w:p>
    <w:p w:rsidR="00871E54" w:rsidRDefault="00871E54">
      <w:pPr>
        <w:pStyle w:val="ConsPlusNormal"/>
        <w:spacing w:before="220"/>
        <w:ind w:firstLine="540"/>
        <w:jc w:val="both"/>
      </w:pPr>
      <w:r>
        <w:t>Постановление арбитражного суда кассационной инстанции вступает в законную силу со дня его принятия.</w:t>
      </w:r>
    </w:p>
    <w:p w:rsidR="00871E54" w:rsidRDefault="00871E54">
      <w:pPr>
        <w:pStyle w:val="ConsPlusNormal"/>
        <w:ind w:firstLine="540"/>
        <w:jc w:val="both"/>
      </w:pPr>
    </w:p>
    <w:p w:rsidR="00871E54" w:rsidRDefault="00871E54">
      <w:pPr>
        <w:pStyle w:val="ConsPlusNormal"/>
        <w:jc w:val="right"/>
      </w:pPr>
      <w:r>
        <w:t>Председательствующий</w:t>
      </w:r>
    </w:p>
    <w:p w:rsidR="00871E54" w:rsidRDefault="00871E54">
      <w:pPr>
        <w:pStyle w:val="ConsPlusNormal"/>
        <w:jc w:val="right"/>
      </w:pPr>
      <w:r>
        <w:t>И.Л.ЗАБУРДАЕВА</w:t>
      </w:r>
    </w:p>
    <w:p w:rsidR="00871E54" w:rsidRDefault="00871E54">
      <w:pPr>
        <w:pStyle w:val="ConsPlusNormal"/>
        <w:ind w:firstLine="540"/>
        <w:jc w:val="both"/>
      </w:pPr>
    </w:p>
    <w:p w:rsidR="00871E54" w:rsidRDefault="00871E54">
      <w:pPr>
        <w:pStyle w:val="ConsPlusNormal"/>
        <w:jc w:val="right"/>
      </w:pPr>
      <w:r>
        <w:t>Судьи</w:t>
      </w:r>
    </w:p>
    <w:p w:rsidR="00871E54" w:rsidRDefault="00871E54">
      <w:pPr>
        <w:pStyle w:val="ConsPlusNormal"/>
        <w:jc w:val="right"/>
      </w:pPr>
      <w:r>
        <w:t>Н.Ю.БАШЕВА</w:t>
      </w:r>
    </w:p>
    <w:p w:rsidR="00871E54" w:rsidRDefault="00871E54">
      <w:pPr>
        <w:pStyle w:val="ConsPlusNormal"/>
        <w:jc w:val="right"/>
      </w:pPr>
      <w:r>
        <w:t>Н.Ш.РАДЧЕНКОВА</w:t>
      </w:r>
    </w:p>
    <w:p w:rsidR="00871E54" w:rsidRDefault="00871E54">
      <w:pPr>
        <w:pStyle w:val="ConsPlusNormal"/>
        <w:ind w:firstLine="540"/>
        <w:jc w:val="both"/>
      </w:pPr>
    </w:p>
    <w:p w:rsidR="00871E54" w:rsidRDefault="00871E54">
      <w:pPr>
        <w:pStyle w:val="ConsPlusNormal"/>
        <w:ind w:firstLine="540"/>
        <w:jc w:val="both"/>
      </w:pPr>
    </w:p>
    <w:p w:rsidR="00871E54" w:rsidRDefault="00871E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400F" w:rsidRDefault="000654F0">
      <w:bookmarkStart w:id="0" w:name="_GoBack"/>
      <w:bookmarkEnd w:id="0"/>
    </w:p>
    <w:sectPr w:rsidR="00B4400F" w:rsidSect="00152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E54"/>
    <w:rsid w:val="000654F0"/>
    <w:rsid w:val="00140034"/>
    <w:rsid w:val="001D4459"/>
    <w:rsid w:val="00871E54"/>
    <w:rsid w:val="00B6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1E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1E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CB44CCF083BD61528D135000DD656D79CD56C4121497081BBC261E8F920FEEB290E6D345BEFB20Z3GBN" TargetMode="External"/><Relationship Id="rId18" Type="http://schemas.openxmlformats.org/officeDocument/2006/relationships/hyperlink" Target="consultantplus://offline/ref=93CB44CCF083BD61528D135000DD656D79CD56C4121497081BBC261E8F920FEEB290E6D345BFF729Z3G0N" TargetMode="External"/><Relationship Id="rId26" Type="http://schemas.openxmlformats.org/officeDocument/2006/relationships/hyperlink" Target="consultantplus://offline/ref=93CB44CCF083BD61528D135000DD656D79C751C5141A97081BBC261E8F920FEEB290E6D345BFF32AZ3GAN" TargetMode="External"/><Relationship Id="rId39" Type="http://schemas.openxmlformats.org/officeDocument/2006/relationships/hyperlink" Target="consultantplus://offline/ref=93CB44CCF083BD61528D135000DD656D79C751C5141A97081BBC261E8F920FEEB290E6D345BFF22DZ3GAN" TargetMode="External"/><Relationship Id="rId21" Type="http://schemas.openxmlformats.org/officeDocument/2006/relationships/hyperlink" Target="consultantplus://offline/ref=93CB44CCF083BD61528D135000DD656D79CD56C4121497081BBC261E8F920FEEB290E6D142ZBGAN" TargetMode="External"/><Relationship Id="rId34" Type="http://schemas.openxmlformats.org/officeDocument/2006/relationships/hyperlink" Target="consultantplus://offline/ref=93CB44CCF083BD61528D135000DD656D79C751C21E1A97081BBC261E8F920FEEB290E6D345BFF321Z3GBN" TargetMode="External"/><Relationship Id="rId42" Type="http://schemas.openxmlformats.org/officeDocument/2006/relationships/hyperlink" Target="consultantplus://offline/ref=93CB44CCF083BD61528D135000DD656D79C751C5141A97081BBC261E8F920FEEB290E6D043ZBGAN" TargetMode="External"/><Relationship Id="rId47" Type="http://schemas.openxmlformats.org/officeDocument/2006/relationships/hyperlink" Target="consultantplus://offline/ref=93CB44CCF083BD61528D135000DD656D79C751C21E1A97081BBC261E8F920FEEB290E6D345BFF12EZ3GAN" TargetMode="External"/><Relationship Id="rId50" Type="http://schemas.openxmlformats.org/officeDocument/2006/relationships/hyperlink" Target="consultantplus://offline/ref=93CB44CCF083BD61528D135000DD656D79C751C21E1A97081BBC261E8F920FEEB290E6D04CZBG7N" TargetMode="External"/><Relationship Id="rId55" Type="http://schemas.openxmlformats.org/officeDocument/2006/relationships/hyperlink" Target="consultantplus://offline/ref=93CB44CCF083BD61528D135000DD656D79CD56C4121497081BBC261E8F920FEEB290E6D345BFF729Z3G0N" TargetMode="External"/><Relationship Id="rId63" Type="http://schemas.openxmlformats.org/officeDocument/2006/relationships/hyperlink" Target="consultantplus://offline/ref=93CB44CCF083BD61528D135000DD656D79CD56C4121497081BBC261E8F920FEEB290E6D345B7ZFG6N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93CB44CCF083BD61528D135000DD656D79C751C21E1A97081BBC261E8FZ9G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CB44CCF083BD61528D135000DD656D79C751C5141A97081BBC261E8F920FEEB290E6D345BFF22DZ3GAN" TargetMode="External"/><Relationship Id="rId29" Type="http://schemas.openxmlformats.org/officeDocument/2006/relationships/hyperlink" Target="consultantplus://offline/ref=93CB44CCF083BD61528D135000DD656D79C751C5141A97081BBC261E8F920FEEB290E6D345BFF12BZ3G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CB44CCF083BD61528D135000DD656D79C751C5141A97081BBC261E8FZ9G2N" TargetMode="External"/><Relationship Id="rId11" Type="http://schemas.openxmlformats.org/officeDocument/2006/relationships/hyperlink" Target="consultantplus://offline/ref=93CB44CCF083BD61528D135000DD656D79CD56C4121497081BBC261E8F920FEEB290E6D345BEFB28Z3G1N" TargetMode="External"/><Relationship Id="rId24" Type="http://schemas.openxmlformats.org/officeDocument/2006/relationships/hyperlink" Target="consultantplus://offline/ref=93CB44CCF083BD61528D135000DD656D79C750C81F1797081BBC261E8F920FEEB290E6D345BEFA21Z3GEN" TargetMode="External"/><Relationship Id="rId32" Type="http://schemas.openxmlformats.org/officeDocument/2006/relationships/hyperlink" Target="consultantplus://offline/ref=93CB44CCF083BD61528D135000DD656D79C751C21E1A97081BBC261E8F920FEEB290E6D345BFF328Z3G0N" TargetMode="External"/><Relationship Id="rId37" Type="http://schemas.openxmlformats.org/officeDocument/2006/relationships/hyperlink" Target="consultantplus://offline/ref=93CB44CCF083BD61528D135000DD656D79C751C21E1A97081BBC261E8F920FEEB290E6D345BEF12DZ3GFN" TargetMode="External"/><Relationship Id="rId40" Type="http://schemas.openxmlformats.org/officeDocument/2006/relationships/hyperlink" Target="consultantplus://offline/ref=93CB44CCF083BD61528D135000DD656D79C751C5141A97081BBC261E8F920FEEB290E6D345BFF22DZ3GAN" TargetMode="External"/><Relationship Id="rId45" Type="http://schemas.openxmlformats.org/officeDocument/2006/relationships/hyperlink" Target="consultantplus://offline/ref=93CB44CCF083BD61528D135000DD656D79C751C21E1A97081BBC261E8F920FEEB290E6D345BFF12EZ3GEN" TargetMode="External"/><Relationship Id="rId53" Type="http://schemas.openxmlformats.org/officeDocument/2006/relationships/hyperlink" Target="consultantplus://offline/ref=93CB44CCF083BD61528D135000DD656D79C056C4111197081BBC261E8F920FEEB290E6D347BAF22EZ3G0N" TargetMode="External"/><Relationship Id="rId58" Type="http://schemas.openxmlformats.org/officeDocument/2006/relationships/hyperlink" Target="consultantplus://offline/ref=93CB44CCF083BD61528D135000DD656D79C259C11F1A97081BBC261E8F920FEEB290E6D345BCF228Z3G1N" TargetMode="External"/><Relationship Id="rId66" Type="http://schemas.openxmlformats.org/officeDocument/2006/relationships/hyperlink" Target="consultantplus://offline/ref=93CB44CCF083BD61528D135000DD656D79CD56C4121497081BBC261E8F920FEEB290E6D345BEFA29Z3G9N" TargetMode="External"/><Relationship Id="rId5" Type="http://schemas.openxmlformats.org/officeDocument/2006/relationships/hyperlink" Target="consultantplus://offline/ref=93CB44CCF083BD61528D0D5007B53B607ACE0ECC1117945B40E37D43D89B05B9ZFG5N" TargetMode="External"/><Relationship Id="rId15" Type="http://schemas.openxmlformats.org/officeDocument/2006/relationships/hyperlink" Target="consultantplus://offline/ref=93CB44CCF083BD61528D0D5D16B139607DCE0ECC121A9A5F47E37D43D89B05B9F5DFBF9101B2F2283D70FAZAG0N" TargetMode="External"/><Relationship Id="rId23" Type="http://schemas.openxmlformats.org/officeDocument/2006/relationships/hyperlink" Target="consultantplus://offline/ref=93CB44CCF083BD61528D135000DD656D79C750C81F1797081BBC261E8F920FEEB290E6D345BEFA20Z3GDN" TargetMode="External"/><Relationship Id="rId28" Type="http://schemas.openxmlformats.org/officeDocument/2006/relationships/hyperlink" Target="consultantplus://offline/ref=93CB44CCF083BD61528D135000DD656D79C751C5141A97081BBC261E8F920FEEB290E6D345BFF12BZ3G9N" TargetMode="External"/><Relationship Id="rId36" Type="http://schemas.openxmlformats.org/officeDocument/2006/relationships/hyperlink" Target="consultantplus://offline/ref=93CB44CCF083BD61528D135000DD656D79C751C21E1A97081BBC261E8F920FEEB290E6D345BFF12EZ3GCN" TargetMode="External"/><Relationship Id="rId49" Type="http://schemas.openxmlformats.org/officeDocument/2006/relationships/hyperlink" Target="consultantplus://offline/ref=93CB44CCF083BD61528D135000DD656D79C751C21E1A97081BBC261E8F920FEEB290E6D04CZBG7N" TargetMode="External"/><Relationship Id="rId57" Type="http://schemas.openxmlformats.org/officeDocument/2006/relationships/hyperlink" Target="consultantplus://offline/ref=93CB44CCF083BD61528D135000DD656D79C751C21E1A97081BBC261E8FZ9G2N" TargetMode="External"/><Relationship Id="rId61" Type="http://schemas.openxmlformats.org/officeDocument/2006/relationships/hyperlink" Target="consultantplus://offline/ref=93CB44CCF083BD61528D135000DD656D79CD56C4121497081BBC261E8F920FEEB290E6D345BEF42CZ3GBN" TargetMode="External"/><Relationship Id="rId10" Type="http://schemas.openxmlformats.org/officeDocument/2006/relationships/hyperlink" Target="consultantplus://offline/ref=93CB44CCF083BD61528D0D5007B53B607ACE0ECC1117945B40E37D43D89B05B9ZFG5N" TargetMode="External"/><Relationship Id="rId19" Type="http://schemas.openxmlformats.org/officeDocument/2006/relationships/hyperlink" Target="consultantplus://offline/ref=93CB44CCF083BD61528D135000DD656D79CD56C4121497081BBC261E8F920FEEB290E6D345BEF32CZ3GBN" TargetMode="External"/><Relationship Id="rId31" Type="http://schemas.openxmlformats.org/officeDocument/2006/relationships/hyperlink" Target="consultantplus://offline/ref=93CB44CCF083BD61528D135000DD656D79C751C5141A97081BBC261E8F920FEEB290E6D345BFF720Z3G9N" TargetMode="External"/><Relationship Id="rId44" Type="http://schemas.openxmlformats.org/officeDocument/2006/relationships/hyperlink" Target="consultantplus://offline/ref=93CB44CCF083BD61528D135000DD656D79C751C21E1A97081BBC261E8F920FEEB290E6D345BFF12EZ3GFN" TargetMode="External"/><Relationship Id="rId52" Type="http://schemas.openxmlformats.org/officeDocument/2006/relationships/hyperlink" Target="consultantplus://offline/ref=93CB44CCF083BD61528D135000DD656D79C056C4111197081BBC261E8F920FEEB290E6D347BAF22EZ3GEN" TargetMode="External"/><Relationship Id="rId60" Type="http://schemas.openxmlformats.org/officeDocument/2006/relationships/hyperlink" Target="consultantplus://offline/ref=93CB44CCF083BD61528D135000DD656D79CD56C4121497081BBC261E8F920FEEB290E6D345BFF728Z3GAN" TargetMode="External"/><Relationship Id="rId65" Type="http://schemas.openxmlformats.org/officeDocument/2006/relationships/hyperlink" Target="consultantplus://offline/ref=93CB44CCF083BD61528D135000DD656D79CD56C4121497081BBC261E8F920FEEB290E6D345BEFB20Z3G1N" TargetMode="External"/><Relationship Id="rId4" Type="http://schemas.openxmlformats.org/officeDocument/2006/relationships/hyperlink" Target="consultantplus://offline/ref=93CB44CCF083BD61528D0D5007B53B607ACE0ECC1117945B40E37D43D89B05B9ZFG5N" TargetMode="External"/><Relationship Id="rId9" Type="http://schemas.openxmlformats.org/officeDocument/2006/relationships/hyperlink" Target="consultantplus://offline/ref=93CB44CCF083BD61528D135000DD656D79C751C5141A97081BBC261E8F920FEEB290E6D345BFF22DZ3GAN" TargetMode="External"/><Relationship Id="rId14" Type="http://schemas.openxmlformats.org/officeDocument/2006/relationships/hyperlink" Target="consultantplus://offline/ref=93CB44CCF083BD61528D135000DD656D79C751C21E1A97081BBC261E8FZ9G2N" TargetMode="External"/><Relationship Id="rId22" Type="http://schemas.openxmlformats.org/officeDocument/2006/relationships/hyperlink" Target="consultantplus://offline/ref=93CB44CCF083BD61528D135000DD656D79CD56C4121497081BBC261E8F920FEEB290E6D142ZBG6N" TargetMode="External"/><Relationship Id="rId27" Type="http://schemas.openxmlformats.org/officeDocument/2006/relationships/hyperlink" Target="consultantplus://offline/ref=93CB44CCF083BD61528D135000DD656D79C751C5141A97081BBC261E8F920FEEB290E6D345BFF22DZ3GAN" TargetMode="External"/><Relationship Id="rId30" Type="http://schemas.openxmlformats.org/officeDocument/2006/relationships/hyperlink" Target="consultantplus://offline/ref=93CB44CCF083BD61528D135000DD656D79C751C5141A97081BBC261E8F920FEEB290E6D345BFF72EZ3G8N" TargetMode="External"/><Relationship Id="rId35" Type="http://schemas.openxmlformats.org/officeDocument/2006/relationships/hyperlink" Target="consultantplus://offline/ref=93CB44CCF083BD61528D135000DD656D79C751C21E1A97081BBC261E8F920FEEB290E6D345BFF321Z3G1N" TargetMode="External"/><Relationship Id="rId43" Type="http://schemas.openxmlformats.org/officeDocument/2006/relationships/hyperlink" Target="consultantplus://offline/ref=93CB44CCF083BD61528D135000DD656D79C751C21E1A97081BBC261E8FZ9G2N" TargetMode="External"/><Relationship Id="rId48" Type="http://schemas.openxmlformats.org/officeDocument/2006/relationships/hyperlink" Target="consultantplus://offline/ref=93CB44CCF083BD61528D135000DD656D79C751C21E1A97081BBC261E8F920FEEB290E6D345BEF12DZ3GFN" TargetMode="External"/><Relationship Id="rId56" Type="http://schemas.openxmlformats.org/officeDocument/2006/relationships/hyperlink" Target="consultantplus://offline/ref=93CB44CCF083BD61528D135000DD656D79C751C21E1A97081BBC261E8FZ9G2N" TargetMode="External"/><Relationship Id="rId64" Type="http://schemas.openxmlformats.org/officeDocument/2006/relationships/hyperlink" Target="consultantplus://offline/ref=93CB44CCF083BD61528D135000DD656D79CD56C4121497081BBC261E8F920FEEB290E6D345BFF52EZ3GFN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93CB44CCF083BD61528D135000DD656D79CD56C4121497081BBC261E8FZ9G2N" TargetMode="External"/><Relationship Id="rId51" Type="http://schemas.openxmlformats.org/officeDocument/2006/relationships/hyperlink" Target="consultantplus://offline/ref=93CB44CCF083BD61528D135000DD656D79C751C21E1A97081BBC261E8F920FEEB290E6D04CZBG7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3CB44CCF083BD61528D135000DD656D79CD56C4121497081BBC261E8F920FEEB290E6D345BEFB2FZ3GFN" TargetMode="External"/><Relationship Id="rId17" Type="http://schemas.openxmlformats.org/officeDocument/2006/relationships/hyperlink" Target="consultantplus://offline/ref=93CB44CCF083BD61528D135000DD656D79CD56C4121497081BBC261E8F920FEEB290E6D345BFF02FZ3GDN" TargetMode="External"/><Relationship Id="rId25" Type="http://schemas.openxmlformats.org/officeDocument/2006/relationships/hyperlink" Target="consultantplus://offline/ref=93CB44CCF083BD61528D135000DD656D79C259C11F1A97081BBC261E8F920FEEB290E6D345BCF228Z3G1N" TargetMode="External"/><Relationship Id="rId33" Type="http://schemas.openxmlformats.org/officeDocument/2006/relationships/hyperlink" Target="consultantplus://offline/ref=93CB44CCF083BD61528D135000DD656D79C751C21E1A97081BBC261E8F920FEEB290E6D345BFF32AZ3GEN" TargetMode="External"/><Relationship Id="rId38" Type="http://schemas.openxmlformats.org/officeDocument/2006/relationships/hyperlink" Target="consultantplus://offline/ref=93CB44CCF083BD61528D135000DD656D79CD56C4121497081BBC261E8F920FEEB290E6D142ZBGFN" TargetMode="External"/><Relationship Id="rId46" Type="http://schemas.openxmlformats.org/officeDocument/2006/relationships/hyperlink" Target="consultantplus://offline/ref=93CB44CCF083BD61528D135000DD656D79C751C21E1A97081BBC261E8F920FEEB290E6D345BFF12FZ3G9N" TargetMode="External"/><Relationship Id="rId59" Type="http://schemas.openxmlformats.org/officeDocument/2006/relationships/hyperlink" Target="consultantplus://offline/ref=93CB44CCF083BD61528D135000DD656D79C751C5141A97081BBC261E8F920FEEB290E6D345BFF22DZ3GAN" TargetMode="External"/><Relationship Id="rId67" Type="http://schemas.openxmlformats.org/officeDocument/2006/relationships/hyperlink" Target="consultantplus://offline/ref=93CB44CCF083BD61528D0D5007B53B607ACE0ECC1117945B40E37D43D89B05B9ZFG5N" TargetMode="External"/><Relationship Id="rId20" Type="http://schemas.openxmlformats.org/officeDocument/2006/relationships/hyperlink" Target="consultantplus://offline/ref=93CB44CCF083BD61528D135000DD656D79CD56C4121497081BBC261E8F920FEEB290E6D142ZBGFN" TargetMode="External"/><Relationship Id="rId41" Type="http://schemas.openxmlformats.org/officeDocument/2006/relationships/hyperlink" Target="consultantplus://offline/ref=93CB44CCF083BD61528D135000DD656D79C751C5141A97081BBC261E8F920FEEB290E6D345BFF32CZ3GBN" TargetMode="External"/><Relationship Id="rId54" Type="http://schemas.openxmlformats.org/officeDocument/2006/relationships/hyperlink" Target="consultantplus://offline/ref=93CB44CCF083BD61528D135000DD656D79C056C4111197081BBC261E8F920FEEB290E6D347BAF12DZ3GCN" TargetMode="External"/><Relationship Id="rId62" Type="http://schemas.openxmlformats.org/officeDocument/2006/relationships/hyperlink" Target="consultantplus://offline/ref=93CB44CCF083BD61528D135000DD656D79CD56C4121497081BBC261E8F920FEEB290E6D345BEFB20Z3G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4291</Words>
  <Characters>24463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Reyts</dc:creator>
  <cp:keywords/>
  <dc:description/>
  <cp:lastModifiedBy>Askornyakov</cp:lastModifiedBy>
  <cp:revision>2</cp:revision>
  <dcterms:created xsi:type="dcterms:W3CDTF">2018-06-25T13:06:00Z</dcterms:created>
  <dcterms:modified xsi:type="dcterms:W3CDTF">2019-04-26T08:17:00Z</dcterms:modified>
</cp:coreProperties>
</file>