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2" w:rsidRPr="00F468BE" w:rsidRDefault="00AC7522" w:rsidP="006423AC">
      <w:pPr>
        <w:spacing w:line="240" w:lineRule="exact"/>
        <w:jc w:val="center"/>
        <w:rPr>
          <w:b/>
        </w:rPr>
      </w:pPr>
      <w:bookmarkStart w:id="0" w:name="_GoBack"/>
      <w:bookmarkEnd w:id="0"/>
      <w:r w:rsidRPr="00F468BE">
        <w:rPr>
          <w:b/>
        </w:rPr>
        <w:t>ИТОГИ</w:t>
      </w:r>
    </w:p>
    <w:p w:rsidR="00AC7522" w:rsidRPr="006063B3" w:rsidRDefault="00AC7522" w:rsidP="006423AC">
      <w:pPr>
        <w:pStyle w:val="ConsPlusTitle"/>
        <w:widowControl/>
        <w:jc w:val="center"/>
      </w:pPr>
      <w:r w:rsidRPr="00F468BE">
        <w:rPr>
          <w:sz w:val="28"/>
          <w:szCs w:val="28"/>
        </w:rPr>
        <w:t xml:space="preserve">оценки качества внедрения и развития механизмов оценки </w:t>
      </w:r>
      <w:r w:rsidR="00177412">
        <w:rPr>
          <w:sz w:val="28"/>
          <w:szCs w:val="28"/>
        </w:rPr>
        <w:br/>
      </w:r>
      <w:r w:rsidRPr="00F468BE">
        <w:rPr>
          <w:sz w:val="28"/>
          <w:szCs w:val="28"/>
        </w:rPr>
        <w:t xml:space="preserve">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</w:t>
      </w:r>
      <w:r w:rsidRPr="00F468BE">
        <w:rPr>
          <w:sz w:val="28"/>
          <w:szCs w:val="28"/>
        </w:rPr>
        <w:br/>
        <w:t xml:space="preserve">и инвестиционной деятельности, в органах местного самоуправления муниципальных образований Ульяновской </w:t>
      </w:r>
      <w:r w:rsidRPr="006063B3">
        <w:rPr>
          <w:sz w:val="28"/>
          <w:szCs w:val="28"/>
        </w:rPr>
        <w:t>области за 201</w:t>
      </w:r>
      <w:r w:rsidR="003D02C5" w:rsidRPr="006063B3">
        <w:rPr>
          <w:sz w:val="28"/>
          <w:szCs w:val="28"/>
        </w:rPr>
        <w:t>7</w:t>
      </w:r>
      <w:r w:rsidRPr="006063B3">
        <w:rPr>
          <w:sz w:val="28"/>
          <w:szCs w:val="28"/>
        </w:rPr>
        <w:t xml:space="preserve"> год</w:t>
      </w:r>
    </w:p>
    <w:p w:rsidR="00AC7522" w:rsidRDefault="00AC7522" w:rsidP="008E129F">
      <w:pPr>
        <w:ind w:firstLine="709"/>
        <w:jc w:val="center"/>
      </w:pPr>
    </w:p>
    <w:p w:rsidR="006063B3" w:rsidRPr="00F468BE" w:rsidRDefault="006063B3" w:rsidP="008E129F">
      <w:pPr>
        <w:ind w:firstLine="709"/>
        <w:jc w:val="center"/>
      </w:pPr>
    </w:p>
    <w:p w:rsidR="001D7368" w:rsidRPr="001D7368" w:rsidRDefault="00AC7522" w:rsidP="008E129F">
      <w:pPr>
        <w:ind w:firstLine="709"/>
        <w:jc w:val="both"/>
      </w:pPr>
      <w:r w:rsidRPr="001D7368">
        <w:t xml:space="preserve">В Ульяновской области с конца 2011 года активно внедряется механизм оценки регулирующего воздействия (далее – ОРВ) в процедуру принятия управленческих решений. </w:t>
      </w:r>
      <w:r w:rsidR="001D7368" w:rsidRPr="001D7368">
        <w:t xml:space="preserve">Пятый год </w:t>
      </w:r>
      <w:r w:rsidRPr="001D7368">
        <w:rPr>
          <w:b/>
        </w:rPr>
        <w:t xml:space="preserve">подряд </w:t>
      </w:r>
      <w:r w:rsidR="001D7368" w:rsidRPr="001D7368">
        <w:rPr>
          <w:b/>
        </w:rPr>
        <w:t xml:space="preserve">наш регион </w:t>
      </w:r>
      <w:r w:rsidRPr="001D7368">
        <w:rPr>
          <w:b/>
        </w:rPr>
        <w:t>занимает лидирующее положение по развитию ОРВ</w:t>
      </w:r>
      <w:r w:rsidRPr="001D7368">
        <w:t xml:space="preserve"> </w:t>
      </w:r>
      <w:r w:rsidR="00645BD1" w:rsidRPr="001D7368">
        <w:rPr>
          <w:b/>
        </w:rPr>
        <w:t>среди субъектов</w:t>
      </w:r>
      <w:r w:rsidRPr="001D7368">
        <w:rPr>
          <w:b/>
        </w:rPr>
        <w:t xml:space="preserve"> Российской Федерации</w:t>
      </w:r>
      <w:r w:rsidR="00A81148" w:rsidRPr="001D7368">
        <w:rPr>
          <w:b/>
        </w:rPr>
        <w:t xml:space="preserve"> </w:t>
      </w:r>
      <w:r w:rsidRPr="001D7368">
        <w:t>и получает высокую оценку со стороны федерального центра.</w:t>
      </w:r>
      <w:r w:rsidR="001D7368" w:rsidRPr="001D7368">
        <w:t xml:space="preserve"> </w:t>
      </w:r>
    </w:p>
    <w:p w:rsidR="00AC7522" w:rsidRPr="003D02C5" w:rsidRDefault="001D7368" w:rsidP="008E129F">
      <w:pPr>
        <w:ind w:firstLine="709"/>
        <w:jc w:val="both"/>
        <w:rPr>
          <w:highlight w:val="yellow"/>
        </w:rPr>
      </w:pPr>
      <w:r w:rsidRPr="001D7368">
        <w:t>По итогам 2017 года Ульяновская область вошла в тройку лидеров, отнесённых к «высшему уровню» рейтинга качества осуществления оценки</w:t>
      </w:r>
      <w:r w:rsidRPr="00A041F8">
        <w:t xml:space="preserve"> регулирующего воздействия и экспертизы в субъектах Российской Федерации.</w:t>
      </w:r>
    </w:p>
    <w:p w:rsidR="00A81148" w:rsidRPr="001D7368" w:rsidRDefault="00AC7522" w:rsidP="008E129F">
      <w:pPr>
        <w:autoSpaceDE w:val="0"/>
        <w:autoSpaceDN w:val="0"/>
        <w:adjustRightInd w:val="0"/>
        <w:ind w:firstLine="709"/>
        <w:jc w:val="both"/>
      </w:pPr>
      <w:r w:rsidRPr="001D7368">
        <w:t xml:space="preserve">Одной из ключевых задач </w:t>
      </w:r>
      <w:r w:rsidR="00645BD1" w:rsidRPr="001D7368">
        <w:t xml:space="preserve">в сфере </w:t>
      </w:r>
      <w:r w:rsidRPr="001D7368">
        <w:t xml:space="preserve">внедрения и развития механизмов ОРВ </w:t>
      </w:r>
      <w:r w:rsidR="00645BD1" w:rsidRPr="001D7368">
        <w:br/>
      </w:r>
      <w:r w:rsidR="001D7368" w:rsidRPr="001D7368">
        <w:t xml:space="preserve">остаётся </w:t>
      </w:r>
      <w:r w:rsidR="00645BD1" w:rsidRPr="001D7368">
        <w:t xml:space="preserve"> задач</w:t>
      </w:r>
      <w:r w:rsidR="001D7368" w:rsidRPr="001D7368">
        <w:t>а</w:t>
      </w:r>
      <w:r w:rsidR="00645BD1" w:rsidRPr="001D7368">
        <w:t xml:space="preserve"> по </w:t>
      </w:r>
      <w:r w:rsidRPr="001D7368">
        <w:t>совершенствовани</w:t>
      </w:r>
      <w:r w:rsidR="00645BD1" w:rsidRPr="001D7368">
        <w:t>ю</w:t>
      </w:r>
      <w:r w:rsidRPr="001D7368">
        <w:t xml:space="preserve"> процедуры </w:t>
      </w:r>
      <w:r w:rsidR="00645BD1" w:rsidRPr="001D7368">
        <w:t xml:space="preserve">ОРВ </w:t>
      </w:r>
      <w:r w:rsidRPr="001D7368">
        <w:rPr>
          <w:b/>
        </w:rPr>
        <w:t>на муниципальном уровне</w:t>
      </w:r>
      <w:r w:rsidR="00645BD1" w:rsidRPr="001D7368">
        <w:rPr>
          <w:b/>
        </w:rPr>
        <w:t>.</w:t>
      </w:r>
      <w:r w:rsidR="00A81148" w:rsidRPr="001D7368">
        <w:t xml:space="preserve"> </w:t>
      </w:r>
      <w:r w:rsidR="00645BD1" w:rsidRPr="001D7368">
        <w:t xml:space="preserve">В целях выполнения поставленной задачи, </w:t>
      </w:r>
      <w:r w:rsidR="00A81148" w:rsidRPr="001D7368">
        <w:t xml:space="preserve">начиная с 2015 года, Министерством развития конкуренции и экономики Ульяновской области проводится </w:t>
      </w:r>
      <w:r w:rsidR="00A81148" w:rsidRPr="001D7368">
        <w:rPr>
          <w:b/>
        </w:rPr>
        <w:t>рейтингование органов местного самоуправления муниципальных образований Ульяновской области</w:t>
      </w:r>
      <w:r w:rsidR="00645BD1" w:rsidRPr="001D7368">
        <w:t xml:space="preserve"> </w:t>
      </w:r>
      <w:r w:rsidR="00A81148" w:rsidRPr="001D7368">
        <w:t>по оценке качества внедрения и развития механизмов оценки регулирующего воздействия.</w:t>
      </w:r>
    </w:p>
    <w:p w:rsidR="00423377" w:rsidRPr="003D02C5" w:rsidRDefault="00423377" w:rsidP="006063B3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4A7142">
        <w:rPr>
          <w:rFonts w:eastAsiaTheme="minorHAnsi"/>
          <w:lang w:eastAsia="en-US"/>
        </w:rPr>
        <w:t xml:space="preserve">Согласно статье 5.2 </w:t>
      </w:r>
      <w:r w:rsidR="00D35A52" w:rsidRPr="004A7142">
        <w:t>Закон</w:t>
      </w:r>
      <w:r w:rsidR="00717BA0" w:rsidRPr="004A7142">
        <w:t>а</w:t>
      </w:r>
      <w:r w:rsidR="00D35A52" w:rsidRPr="004A7142">
        <w:t xml:space="preserve"> Ульяновской области от 05.11.2013 </w:t>
      </w:r>
      <w:r w:rsidR="00D35A52" w:rsidRPr="004A7142">
        <w:br/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</w:t>
      </w:r>
      <w:r w:rsidR="00D35A52" w:rsidRPr="004A7142">
        <w:br/>
        <w:t xml:space="preserve">и инвестиционной деятельности» </w:t>
      </w:r>
      <w:r w:rsidRPr="004A7142">
        <w:rPr>
          <w:rFonts w:eastAsiaTheme="minorHAnsi"/>
          <w:b/>
          <w:lang w:eastAsia="en-US"/>
        </w:rPr>
        <w:t xml:space="preserve">в перечень муниципальных районов </w:t>
      </w:r>
      <w:r w:rsidR="00D35A52" w:rsidRPr="004A7142">
        <w:rPr>
          <w:rFonts w:eastAsiaTheme="minorHAnsi"/>
          <w:b/>
          <w:lang w:eastAsia="en-US"/>
        </w:rPr>
        <w:br/>
      </w:r>
      <w:r w:rsidRPr="004A7142">
        <w:rPr>
          <w:rFonts w:eastAsiaTheme="minorHAnsi"/>
          <w:b/>
          <w:lang w:eastAsia="en-US"/>
        </w:rPr>
        <w:t>и городских округов Ульяновской области,</w:t>
      </w:r>
      <w:r w:rsidRPr="004A7142">
        <w:rPr>
          <w:rFonts w:eastAsiaTheme="minorHAnsi"/>
          <w:lang w:eastAsia="en-US"/>
        </w:rPr>
        <w:t xml:space="preserve"> в которых проведение </w:t>
      </w:r>
      <w:r w:rsidR="008E129F" w:rsidRPr="004A7142">
        <w:rPr>
          <w:rFonts w:eastAsiaTheme="minorHAnsi"/>
          <w:lang w:eastAsia="en-US"/>
        </w:rPr>
        <w:t>ОРВ</w:t>
      </w:r>
      <w:r w:rsidRPr="004A7142">
        <w:rPr>
          <w:rFonts w:eastAsiaTheme="minorHAnsi"/>
          <w:lang w:eastAsia="en-US"/>
        </w:rPr>
        <w:t xml:space="preserve"> проектов муниципальных нормативных правовых актов </w:t>
      </w:r>
      <w:r w:rsidR="00645108" w:rsidRPr="004A7142">
        <w:rPr>
          <w:rFonts w:eastAsiaTheme="minorHAnsi"/>
          <w:lang w:eastAsia="en-US"/>
        </w:rPr>
        <w:t xml:space="preserve">(далее – НПА) </w:t>
      </w:r>
      <w:r w:rsidR="00645108" w:rsidRPr="004A7142">
        <w:rPr>
          <w:rFonts w:eastAsiaTheme="minorHAnsi"/>
          <w:lang w:eastAsia="en-US"/>
        </w:rPr>
        <w:br/>
      </w:r>
      <w:r w:rsidRPr="004A7142">
        <w:rPr>
          <w:rFonts w:eastAsiaTheme="minorHAnsi"/>
          <w:lang w:eastAsia="en-US"/>
        </w:rPr>
        <w:t xml:space="preserve">и экспертизы муниципальных </w:t>
      </w:r>
      <w:r w:rsidR="00645108" w:rsidRPr="004A7142">
        <w:rPr>
          <w:rFonts w:eastAsiaTheme="minorHAnsi"/>
          <w:lang w:eastAsia="en-US"/>
        </w:rPr>
        <w:t>НПА</w:t>
      </w:r>
      <w:r w:rsidRPr="004A7142">
        <w:rPr>
          <w:rFonts w:eastAsiaTheme="minorHAnsi"/>
          <w:lang w:eastAsia="en-US"/>
        </w:rPr>
        <w:t xml:space="preserve">, затрагивающих вопросы осуществления предпринимательской и инвестиционной деятельности, является </w:t>
      </w:r>
      <w:r w:rsidRPr="004A7142">
        <w:rPr>
          <w:rFonts w:eastAsiaTheme="minorHAnsi"/>
          <w:b/>
          <w:lang w:eastAsia="en-US"/>
        </w:rPr>
        <w:t>обязательным</w:t>
      </w:r>
      <w:r w:rsidR="00645108" w:rsidRPr="004A7142">
        <w:rPr>
          <w:rFonts w:eastAsiaTheme="minorHAnsi"/>
          <w:b/>
          <w:lang w:eastAsia="en-US"/>
        </w:rPr>
        <w:t>,</w:t>
      </w:r>
      <w:r w:rsidRPr="004A7142">
        <w:rPr>
          <w:rFonts w:eastAsiaTheme="minorHAnsi"/>
          <w:lang w:eastAsia="en-US"/>
        </w:rPr>
        <w:t xml:space="preserve"> вошли </w:t>
      </w:r>
      <w:r w:rsidRPr="004A7142">
        <w:rPr>
          <w:rFonts w:eastAsiaTheme="minorHAnsi"/>
          <w:u w:val="single"/>
          <w:lang w:eastAsia="en-US"/>
        </w:rPr>
        <w:t>все 24 муниципальные образования Ульяновской области</w:t>
      </w:r>
      <w:r w:rsidRPr="004A7142">
        <w:rPr>
          <w:rFonts w:eastAsiaTheme="minorHAnsi"/>
          <w:lang w:eastAsia="en-US"/>
        </w:rPr>
        <w:t>.</w:t>
      </w:r>
    </w:p>
    <w:p w:rsidR="00EB36BB" w:rsidRPr="003138F7" w:rsidRDefault="008E129F" w:rsidP="00EB36BB">
      <w:pPr>
        <w:autoSpaceDE w:val="0"/>
        <w:autoSpaceDN w:val="0"/>
        <w:adjustRightInd w:val="0"/>
        <w:ind w:firstLine="709"/>
        <w:jc w:val="both"/>
      </w:pPr>
      <w:r w:rsidRPr="003138F7">
        <w:rPr>
          <w:rFonts w:eastAsiaTheme="minorHAnsi"/>
          <w:b/>
          <w:lang w:eastAsia="en-US"/>
        </w:rPr>
        <w:t>В целях оказания методической поддержки</w:t>
      </w:r>
      <w:r w:rsidRPr="003138F7">
        <w:rPr>
          <w:rFonts w:eastAsiaTheme="minorHAnsi"/>
          <w:lang w:eastAsia="en-US"/>
        </w:rPr>
        <w:t xml:space="preserve"> муниципальным образованиям для успешного внедрения ОРВ </w:t>
      </w:r>
      <w:r w:rsidR="00EB36BB" w:rsidRPr="003138F7">
        <w:rPr>
          <w:rFonts w:eastAsiaTheme="minorHAnsi"/>
          <w:lang w:eastAsia="en-US"/>
        </w:rPr>
        <w:t xml:space="preserve">Министерством </w:t>
      </w:r>
      <w:r w:rsidR="00EB36BB" w:rsidRPr="003138F7">
        <w:t>развития конкуренции и экономики Ульяновской области</w:t>
      </w:r>
      <w:r w:rsidR="00D35A52" w:rsidRPr="003138F7">
        <w:t xml:space="preserve"> в течении 2016</w:t>
      </w:r>
      <w:r w:rsidR="004A7142" w:rsidRPr="003138F7">
        <w:t>-2017</w:t>
      </w:r>
      <w:r w:rsidR="00D35A52" w:rsidRPr="003138F7">
        <w:t xml:space="preserve"> годов</w:t>
      </w:r>
      <w:r w:rsidR="00EB36BB" w:rsidRPr="003138F7">
        <w:t xml:space="preserve">: </w:t>
      </w:r>
    </w:p>
    <w:p w:rsidR="00EB36BB" w:rsidRPr="0031489B" w:rsidRDefault="003138F7" w:rsidP="00EB36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EB36BB" w:rsidRPr="003138F7">
        <w:rPr>
          <w:rFonts w:eastAsiaTheme="minorHAnsi"/>
          <w:lang w:eastAsia="en-US"/>
        </w:rPr>
        <w:t xml:space="preserve"> </w:t>
      </w:r>
      <w:r w:rsidR="008E129F" w:rsidRPr="0031489B">
        <w:rPr>
          <w:rFonts w:eastAsiaTheme="minorHAnsi"/>
          <w:lang w:eastAsia="en-US"/>
        </w:rPr>
        <w:t>осуществля</w:t>
      </w:r>
      <w:r w:rsidR="00D35A52" w:rsidRPr="0031489B">
        <w:rPr>
          <w:rFonts w:eastAsiaTheme="minorHAnsi"/>
          <w:lang w:eastAsia="en-US"/>
        </w:rPr>
        <w:t>лась</w:t>
      </w:r>
      <w:r w:rsidR="008E129F" w:rsidRPr="0031489B">
        <w:rPr>
          <w:rFonts w:eastAsiaTheme="minorHAnsi"/>
          <w:lang w:eastAsia="en-US"/>
        </w:rPr>
        <w:t xml:space="preserve"> консультационная поддержка</w:t>
      </w:r>
      <w:r w:rsidR="00EB36BB" w:rsidRPr="0031489B">
        <w:rPr>
          <w:rFonts w:eastAsiaTheme="minorHAnsi"/>
          <w:lang w:eastAsia="en-US"/>
        </w:rPr>
        <w:t xml:space="preserve"> уполномоченных органов местного самоуправления </w:t>
      </w:r>
      <w:r w:rsidR="008E129F" w:rsidRPr="0031489B">
        <w:rPr>
          <w:rFonts w:eastAsiaTheme="minorHAnsi"/>
          <w:lang w:eastAsia="en-US"/>
        </w:rPr>
        <w:t>по вопросам проведения ОРВ</w:t>
      </w:r>
      <w:r w:rsidRPr="0031489B">
        <w:rPr>
          <w:rFonts w:eastAsiaTheme="minorHAnsi"/>
          <w:lang w:eastAsia="en-US"/>
        </w:rPr>
        <w:t xml:space="preserve"> и экспертизы</w:t>
      </w:r>
      <w:r w:rsidR="008E129F" w:rsidRPr="0031489B">
        <w:rPr>
          <w:rFonts w:eastAsiaTheme="minorHAnsi"/>
          <w:lang w:eastAsia="en-US"/>
        </w:rPr>
        <w:t>;</w:t>
      </w:r>
    </w:p>
    <w:p w:rsidR="00D1536C" w:rsidRPr="0031489B" w:rsidRDefault="00E721F4" w:rsidP="00FE58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1489B">
        <w:rPr>
          <w:rFonts w:eastAsiaTheme="minorHAnsi"/>
          <w:lang w:eastAsia="en-US"/>
        </w:rPr>
        <w:lastRenderedPageBreak/>
        <w:t xml:space="preserve">– </w:t>
      </w:r>
      <w:r w:rsidR="00FE582D" w:rsidRPr="0031489B">
        <w:rPr>
          <w:rFonts w:eastAsiaTheme="minorHAnsi"/>
          <w:lang w:eastAsia="en-US"/>
        </w:rPr>
        <w:t>провод</w:t>
      </w:r>
      <w:r w:rsidR="00D35A52" w:rsidRPr="0031489B">
        <w:rPr>
          <w:rFonts w:eastAsiaTheme="minorHAnsi"/>
          <w:lang w:eastAsia="en-US"/>
        </w:rPr>
        <w:t>ились</w:t>
      </w:r>
      <w:r w:rsidR="00FE582D" w:rsidRPr="0031489B">
        <w:rPr>
          <w:rFonts w:eastAsiaTheme="minorHAnsi"/>
          <w:lang w:eastAsia="en-US"/>
        </w:rPr>
        <w:t xml:space="preserve"> выездные </w:t>
      </w:r>
      <w:r w:rsidR="00327146" w:rsidRPr="0031489B">
        <w:rPr>
          <w:rFonts w:eastAsiaTheme="minorHAnsi"/>
          <w:lang w:eastAsia="en-US"/>
        </w:rPr>
        <w:t>семинары</w:t>
      </w:r>
      <w:r w:rsidR="00327146">
        <w:rPr>
          <w:rFonts w:eastAsiaTheme="minorHAnsi"/>
          <w:lang w:eastAsia="en-US"/>
        </w:rPr>
        <w:t xml:space="preserve"> </w:t>
      </w:r>
      <w:r w:rsidR="00327146" w:rsidRPr="0031489B">
        <w:rPr>
          <w:rFonts w:eastAsiaTheme="minorHAnsi"/>
          <w:lang w:eastAsia="en-US"/>
        </w:rPr>
        <w:t>и</w:t>
      </w:r>
      <w:r w:rsidR="00327146">
        <w:rPr>
          <w:rFonts w:eastAsiaTheme="minorHAnsi"/>
          <w:lang w:eastAsia="en-US"/>
        </w:rPr>
        <w:t xml:space="preserve"> кустовые </w:t>
      </w:r>
      <w:r w:rsidR="00FE582D" w:rsidRPr="0031489B">
        <w:rPr>
          <w:rFonts w:eastAsiaTheme="minorHAnsi"/>
          <w:lang w:eastAsia="en-US"/>
        </w:rPr>
        <w:t xml:space="preserve">совещания по вопросам развития института ОРВ в муниципальных образованиях Ульяновской области </w:t>
      </w:r>
      <w:r w:rsidRPr="0031489B">
        <w:rPr>
          <w:rFonts w:eastAsiaTheme="minorHAnsi"/>
          <w:i/>
          <w:lang w:eastAsia="en-US"/>
        </w:rPr>
        <w:t>(</w:t>
      </w:r>
      <w:r w:rsidR="007D3ED7">
        <w:rPr>
          <w:rFonts w:eastAsiaTheme="minorHAnsi"/>
          <w:i/>
          <w:lang w:eastAsia="en-US"/>
        </w:rPr>
        <w:t xml:space="preserve">Вешкаймский район, </w:t>
      </w:r>
      <w:r w:rsidRPr="0031489B">
        <w:rPr>
          <w:rFonts w:eastAsiaTheme="minorHAnsi"/>
          <w:i/>
          <w:lang w:eastAsia="en-US"/>
        </w:rPr>
        <w:t>Новоспасский район</w:t>
      </w:r>
      <w:r w:rsidR="00D1536C" w:rsidRPr="0031489B">
        <w:rPr>
          <w:rFonts w:eastAsiaTheme="minorHAnsi"/>
          <w:i/>
          <w:lang w:eastAsia="en-US"/>
        </w:rPr>
        <w:t>, г. Димитровград);</w:t>
      </w:r>
    </w:p>
    <w:p w:rsidR="00FE582D" w:rsidRPr="0031489B" w:rsidRDefault="002046E5" w:rsidP="006063B3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31489B">
        <w:rPr>
          <w:rFonts w:eastAsiaTheme="minorHAnsi"/>
          <w:lang w:eastAsia="en-US"/>
        </w:rPr>
        <w:t xml:space="preserve"> </w:t>
      </w:r>
      <w:r w:rsidR="003D02C5" w:rsidRPr="0031489B">
        <w:rPr>
          <w:rFonts w:eastAsiaTheme="minorHAnsi"/>
          <w:lang w:eastAsia="en-US"/>
        </w:rPr>
        <w:t>–</w:t>
      </w:r>
      <w:r w:rsidR="00D35A52" w:rsidRPr="0031489B">
        <w:rPr>
          <w:rFonts w:eastAsiaTheme="minorHAnsi"/>
          <w:lang w:eastAsia="en-US"/>
        </w:rPr>
        <w:t xml:space="preserve"> </w:t>
      </w:r>
      <w:r w:rsidR="003D02C5" w:rsidRPr="0031489B">
        <w:rPr>
          <w:rFonts w:eastAsiaTheme="minorHAnsi"/>
          <w:lang w:eastAsia="en-US"/>
        </w:rPr>
        <w:t>работает</w:t>
      </w:r>
      <w:r w:rsidR="00EB36BB" w:rsidRPr="0031489B">
        <w:rPr>
          <w:rFonts w:eastAsiaTheme="minorHAnsi"/>
          <w:lang w:eastAsia="en-US"/>
        </w:rPr>
        <w:t xml:space="preserve"> региональная страница</w:t>
      </w:r>
      <w:r w:rsidR="008E129F" w:rsidRPr="0031489B">
        <w:rPr>
          <w:rFonts w:eastAsiaTheme="minorHAnsi"/>
          <w:lang w:eastAsia="en-US"/>
        </w:rPr>
        <w:t xml:space="preserve"> </w:t>
      </w:r>
      <w:r w:rsidR="00EB36BB" w:rsidRPr="0031489B">
        <w:rPr>
          <w:rFonts w:eastAsiaTheme="minorHAnsi"/>
          <w:lang w:eastAsia="en-US"/>
        </w:rPr>
        <w:t>и</w:t>
      </w:r>
      <w:r w:rsidR="008E129F" w:rsidRPr="0031489B">
        <w:rPr>
          <w:rFonts w:eastAsiaTheme="minorHAnsi"/>
          <w:lang w:eastAsia="en-US"/>
        </w:rPr>
        <w:t>нформационн</w:t>
      </w:r>
      <w:r w:rsidR="00EB36BB" w:rsidRPr="0031489B">
        <w:rPr>
          <w:rFonts w:eastAsiaTheme="minorHAnsi"/>
          <w:lang w:eastAsia="en-US"/>
        </w:rPr>
        <w:t>ого</w:t>
      </w:r>
      <w:r w:rsidR="008E129F" w:rsidRPr="0031489B">
        <w:rPr>
          <w:rFonts w:eastAsiaTheme="minorHAnsi"/>
          <w:lang w:eastAsia="en-US"/>
        </w:rPr>
        <w:t xml:space="preserve"> портал</w:t>
      </w:r>
      <w:r w:rsidR="00EB36BB" w:rsidRPr="0031489B">
        <w:rPr>
          <w:rFonts w:eastAsiaTheme="minorHAnsi"/>
          <w:lang w:eastAsia="en-US"/>
        </w:rPr>
        <w:t>а</w:t>
      </w:r>
      <w:r w:rsidR="008E129F" w:rsidRPr="0031489B">
        <w:rPr>
          <w:rFonts w:eastAsiaTheme="minorHAnsi"/>
          <w:lang w:eastAsia="en-US"/>
        </w:rPr>
        <w:t xml:space="preserve"> </w:t>
      </w:r>
      <w:r w:rsidR="00EB36BB" w:rsidRPr="0031489B">
        <w:rPr>
          <w:rFonts w:eastAsiaTheme="minorHAnsi"/>
          <w:lang w:eastAsia="en-US"/>
        </w:rPr>
        <w:br/>
      </w:r>
      <w:r w:rsidR="008E129F" w:rsidRPr="0031489B">
        <w:rPr>
          <w:rFonts w:eastAsiaTheme="minorHAnsi"/>
          <w:lang w:eastAsia="en-US"/>
        </w:rPr>
        <w:t>об ОРВ</w:t>
      </w:r>
      <w:r w:rsidR="00EB36BB" w:rsidRPr="0031489B">
        <w:rPr>
          <w:rFonts w:eastAsiaTheme="minorHAnsi"/>
          <w:lang w:eastAsia="en-US"/>
        </w:rPr>
        <w:t xml:space="preserve"> </w:t>
      </w:r>
      <w:r w:rsidR="008E129F" w:rsidRPr="0031489B">
        <w:rPr>
          <w:rFonts w:eastAsiaTheme="minorHAnsi"/>
          <w:lang w:eastAsia="en-US"/>
        </w:rPr>
        <w:t>(orv.gov.ru)</w:t>
      </w:r>
      <w:r w:rsidR="00EB36BB" w:rsidRPr="0031489B">
        <w:rPr>
          <w:rFonts w:eastAsiaTheme="minorHAnsi"/>
          <w:lang w:eastAsia="en-US"/>
        </w:rPr>
        <w:t xml:space="preserve"> и </w:t>
      </w:r>
      <w:r w:rsidR="008E129F" w:rsidRPr="0031489B">
        <w:rPr>
          <w:rFonts w:eastAsiaTheme="minorHAnsi"/>
          <w:lang w:eastAsia="en-US"/>
        </w:rPr>
        <w:t>региональная версия</w:t>
      </w:r>
      <w:r w:rsidR="00EB36BB" w:rsidRPr="0031489B">
        <w:rPr>
          <w:rFonts w:eastAsiaTheme="minorHAnsi"/>
          <w:lang w:eastAsia="en-US"/>
        </w:rPr>
        <w:t xml:space="preserve"> </w:t>
      </w:r>
      <w:r w:rsidR="008E129F" w:rsidRPr="0031489B">
        <w:rPr>
          <w:rFonts w:eastAsiaTheme="minorHAnsi"/>
          <w:lang w:eastAsia="en-US"/>
        </w:rPr>
        <w:t>интернет-портала</w:t>
      </w:r>
      <w:r w:rsidR="00EB36BB" w:rsidRPr="0031489B">
        <w:rPr>
          <w:rFonts w:eastAsiaTheme="minorHAnsi"/>
          <w:lang w:eastAsia="en-US"/>
        </w:rPr>
        <w:t xml:space="preserve"> regulation.gov.ru, где заинтересованные лица могут ознакомиться с </w:t>
      </w:r>
      <w:r w:rsidR="00EB36BB" w:rsidRPr="0031489B">
        <w:rPr>
          <w:rFonts w:ascii="Calibri,Bold" w:eastAsiaTheme="minorHAnsi" w:hAnsi="Calibri,Bold" w:cs="Calibri,Bold"/>
          <w:bCs/>
          <w:lang w:eastAsia="en-US"/>
        </w:rPr>
        <w:t>обзорами лучших практик</w:t>
      </w:r>
      <w:r w:rsidR="00EB36BB" w:rsidRPr="0031489B">
        <w:rPr>
          <w:rFonts w:ascii="Calibri,Bold" w:eastAsiaTheme="minorHAnsi" w:hAnsi="Calibri,Bold" w:cs="Calibri,Bold"/>
          <w:b/>
          <w:bCs/>
          <w:lang w:eastAsia="en-US"/>
        </w:rPr>
        <w:t xml:space="preserve"> </w:t>
      </w:r>
      <w:r w:rsidR="00EB36BB" w:rsidRPr="0031489B">
        <w:rPr>
          <w:rFonts w:eastAsiaTheme="minorHAnsi"/>
          <w:lang w:eastAsia="en-US"/>
        </w:rPr>
        <w:t>организации и проведения</w:t>
      </w:r>
      <w:r w:rsidR="00FE582D" w:rsidRPr="0031489B">
        <w:rPr>
          <w:rFonts w:eastAsiaTheme="minorHAnsi"/>
          <w:lang w:eastAsia="en-US"/>
        </w:rPr>
        <w:t xml:space="preserve"> </w:t>
      </w:r>
      <w:r w:rsidR="00EB36BB" w:rsidRPr="0031489B">
        <w:rPr>
          <w:rFonts w:eastAsiaTheme="minorHAnsi"/>
          <w:lang w:eastAsia="en-US"/>
        </w:rPr>
        <w:t xml:space="preserve">процедуры ОРВ </w:t>
      </w:r>
      <w:r w:rsidR="00FE582D" w:rsidRPr="0031489B">
        <w:rPr>
          <w:rFonts w:eastAsiaTheme="minorHAnsi"/>
          <w:lang w:eastAsia="en-US"/>
        </w:rPr>
        <w:t>как в</w:t>
      </w:r>
      <w:r w:rsidR="00EB36BB" w:rsidRPr="0031489B">
        <w:rPr>
          <w:rFonts w:eastAsiaTheme="minorHAnsi"/>
          <w:lang w:eastAsia="en-US"/>
        </w:rPr>
        <w:t xml:space="preserve"> субъектах Российской Федерации</w:t>
      </w:r>
      <w:r w:rsidR="00FE582D" w:rsidRPr="0031489B">
        <w:rPr>
          <w:rFonts w:eastAsiaTheme="minorHAnsi"/>
          <w:lang w:eastAsia="en-US"/>
        </w:rPr>
        <w:t xml:space="preserve">, так </w:t>
      </w:r>
      <w:r w:rsidR="00EB36BB" w:rsidRPr="0031489B">
        <w:rPr>
          <w:rFonts w:eastAsiaTheme="minorHAnsi"/>
          <w:lang w:eastAsia="en-US"/>
        </w:rPr>
        <w:t>и</w:t>
      </w:r>
      <w:r w:rsidR="00FE582D" w:rsidRPr="0031489B">
        <w:rPr>
          <w:rFonts w:eastAsiaTheme="minorHAnsi"/>
          <w:lang w:eastAsia="en-US"/>
        </w:rPr>
        <w:t xml:space="preserve"> в</w:t>
      </w:r>
      <w:r w:rsidR="00EB36BB" w:rsidRPr="0031489B">
        <w:rPr>
          <w:rFonts w:eastAsiaTheme="minorHAnsi"/>
          <w:lang w:eastAsia="en-US"/>
        </w:rPr>
        <w:t xml:space="preserve"> органах местного</w:t>
      </w:r>
      <w:r w:rsidR="00FE582D" w:rsidRPr="0031489B">
        <w:rPr>
          <w:rFonts w:eastAsiaTheme="minorHAnsi"/>
          <w:lang w:eastAsia="en-US"/>
        </w:rPr>
        <w:t xml:space="preserve"> </w:t>
      </w:r>
      <w:r w:rsidR="00EB36BB" w:rsidRPr="0031489B">
        <w:rPr>
          <w:rFonts w:eastAsiaTheme="minorHAnsi"/>
          <w:lang w:eastAsia="en-US"/>
        </w:rPr>
        <w:t>самоуправления</w:t>
      </w:r>
      <w:r w:rsidR="00FE582D" w:rsidRPr="0031489B">
        <w:rPr>
          <w:rFonts w:eastAsiaTheme="minorHAnsi"/>
          <w:lang w:eastAsia="en-US"/>
        </w:rPr>
        <w:t>.</w:t>
      </w:r>
    </w:p>
    <w:p w:rsidR="0084189B" w:rsidRPr="0031489B" w:rsidRDefault="0034014C" w:rsidP="00FE582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Theme="minorHAnsi"/>
          <w:lang w:eastAsia="en-US"/>
        </w:rPr>
        <w:t>Третий</w:t>
      </w:r>
      <w:r w:rsidR="00144670" w:rsidRPr="0031489B">
        <w:rPr>
          <w:rFonts w:eastAsiaTheme="minorHAnsi"/>
          <w:lang w:eastAsia="en-US"/>
        </w:rPr>
        <w:t xml:space="preserve"> год подряд подведение итогов организации и проведения процедуры ОРВ в органах местного самоуправления проходит в соответствии с </w:t>
      </w:r>
      <w:r w:rsidR="00144670" w:rsidRPr="0031489B">
        <w:rPr>
          <w:b/>
        </w:rPr>
        <w:t xml:space="preserve">Методикой </w:t>
      </w:r>
      <w:r w:rsidR="00144670" w:rsidRPr="0031489B">
        <w:t xml:space="preserve">оценки качества внедрения и развития механизмов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органах местного самоуправления муниципальных образований Ульяновской области, утверждённой </w:t>
      </w:r>
      <w:r w:rsidR="00144670" w:rsidRPr="0031489B">
        <w:rPr>
          <w:b/>
        </w:rPr>
        <w:t xml:space="preserve">распоряжением Правительства Ульяновской области от 22.12.2016 </w:t>
      </w:r>
      <w:r w:rsidR="00144670" w:rsidRPr="0031489B">
        <w:rPr>
          <w:b/>
        </w:rPr>
        <w:br/>
        <w:t>№ 707-пр.</w:t>
      </w:r>
    </w:p>
    <w:p w:rsidR="00144670" w:rsidRPr="0031489B" w:rsidRDefault="00144670" w:rsidP="00144670">
      <w:pPr>
        <w:autoSpaceDE w:val="0"/>
        <w:autoSpaceDN w:val="0"/>
        <w:adjustRightInd w:val="0"/>
        <w:ind w:firstLine="709"/>
        <w:jc w:val="both"/>
      </w:pPr>
      <w:r w:rsidRPr="0031489B">
        <w:t xml:space="preserve">Система используемых при этом показателей характеризует различные аспекты развития механизмов ОРВ и экспертизы на муниципальном уровне и позволяет осуществить объективную оценку каждого муниципального образования Ульяновской области. </w:t>
      </w:r>
    </w:p>
    <w:p w:rsidR="00144670" w:rsidRDefault="00144670" w:rsidP="00340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489B">
        <w:rPr>
          <w:b/>
        </w:rPr>
        <w:t xml:space="preserve">Максимальная возможная сумма баллов по всем показателям оценки составляет 100 </w:t>
      </w:r>
      <w:r w:rsidRPr="003D25A4">
        <w:rPr>
          <w:b/>
        </w:rPr>
        <w:t>баллов.</w:t>
      </w:r>
      <w:r>
        <w:rPr>
          <w:b/>
        </w:rPr>
        <w:t xml:space="preserve"> </w:t>
      </w:r>
      <w:r w:rsidRPr="003D25A4">
        <w:t xml:space="preserve">В зависимости от набранных баллов ранжирование муниципальных образований Ульяновской области производилось </w:t>
      </w:r>
      <w:r w:rsidR="007D3ED7">
        <w:br/>
      </w:r>
      <w:r w:rsidRPr="003D25A4">
        <w:rPr>
          <w:b/>
        </w:rPr>
        <w:t xml:space="preserve">по 4 группам: </w:t>
      </w:r>
    </w:p>
    <w:p w:rsidR="00144670" w:rsidRPr="003D25A4" w:rsidRDefault="00144670" w:rsidP="0034014C">
      <w:pPr>
        <w:autoSpaceDE w:val="0"/>
        <w:autoSpaceDN w:val="0"/>
        <w:adjustRightInd w:val="0"/>
        <w:ind w:firstLine="709"/>
        <w:jc w:val="both"/>
      </w:pPr>
      <w:r w:rsidRPr="003D25A4">
        <w:t xml:space="preserve">«Высший уровень» (от 81 до 100 баллов), </w:t>
      </w:r>
    </w:p>
    <w:p w:rsidR="00144670" w:rsidRPr="003D25A4" w:rsidRDefault="00144670" w:rsidP="0034014C">
      <w:pPr>
        <w:autoSpaceDE w:val="0"/>
        <w:autoSpaceDN w:val="0"/>
        <w:adjustRightInd w:val="0"/>
        <w:ind w:firstLine="709"/>
        <w:jc w:val="both"/>
      </w:pPr>
      <w:r w:rsidRPr="003D25A4">
        <w:t xml:space="preserve">«Хороший уровень» (от 61 до 80 балов), </w:t>
      </w:r>
    </w:p>
    <w:p w:rsidR="00144670" w:rsidRPr="003D25A4" w:rsidRDefault="00144670" w:rsidP="0034014C">
      <w:pPr>
        <w:autoSpaceDE w:val="0"/>
        <w:autoSpaceDN w:val="0"/>
        <w:adjustRightInd w:val="0"/>
        <w:ind w:firstLine="709"/>
        <w:jc w:val="both"/>
      </w:pPr>
      <w:r w:rsidRPr="003D25A4">
        <w:t xml:space="preserve">«Удовлетворительный» (от 41 до 60 баллов), </w:t>
      </w:r>
    </w:p>
    <w:p w:rsidR="00144670" w:rsidRDefault="00144670" w:rsidP="0034014C">
      <w:pPr>
        <w:autoSpaceDE w:val="0"/>
        <w:autoSpaceDN w:val="0"/>
        <w:adjustRightInd w:val="0"/>
        <w:ind w:firstLine="709"/>
        <w:jc w:val="both"/>
      </w:pPr>
      <w:r w:rsidRPr="003D25A4">
        <w:t>«Неудовлетворительный уровень» (менее 41 балла).</w:t>
      </w:r>
    </w:p>
    <w:p w:rsidR="0084189B" w:rsidRDefault="0084189B" w:rsidP="0084189B">
      <w:pPr>
        <w:autoSpaceDE w:val="0"/>
        <w:autoSpaceDN w:val="0"/>
        <w:adjustRightInd w:val="0"/>
        <w:ind w:firstLine="709"/>
        <w:jc w:val="both"/>
      </w:pPr>
      <w:r>
        <w:t>П</w:t>
      </w:r>
      <w:r w:rsidRPr="00640F9D">
        <w:t xml:space="preserve">о итогам работы за 2017 год, как и в предыдущие 2015 и 2016 годы, </w:t>
      </w:r>
      <w:r>
        <w:t xml:space="preserve">набрать более 80 баллов и </w:t>
      </w:r>
      <w:r w:rsidRPr="00640F9D">
        <w:rPr>
          <w:u w:val="single"/>
        </w:rPr>
        <w:t>достичь высшего уровня</w:t>
      </w:r>
      <w:r>
        <w:rPr>
          <w:u w:val="single"/>
        </w:rPr>
        <w:t xml:space="preserve">, к сожалению, </w:t>
      </w:r>
      <w:r w:rsidRPr="00640F9D">
        <w:rPr>
          <w:u w:val="single"/>
        </w:rPr>
        <w:t xml:space="preserve"> не удалось ни одному муниципальному образованию</w:t>
      </w:r>
      <w:r>
        <w:rPr>
          <w:u w:val="single"/>
        </w:rPr>
        <w:t xml:space="preserve"> Ульяновской области</w:t>
      </w:r>
      <w:r w:rsidRPr="00640F9D">
        <w:t>.</w:t>
      </w:r>
      <w:r>
        <w:t xml:space="preserve"> Однако по итогам отчётного года до 4-х увеличилось количество МО, отнесённых к «хорошему уровню», до 16-ти выросло число муниципальных образований, отнесённых к «удовлетворительному уровню».</w:t>
      </w:r>
    </w:p>
    <w:p w:rsidR="0084189B" w:rsidRPr="004A6D8A" w:rsidRDefault="0084189B" w:rsidP="0084189B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Соответственно</w:t>
      </w:r>
      <w:r w:rsidR="0034014C">
        <w:t>,</w:t>
      </w:r>
      <w:r>
        <w:t xml:space="preserve"> значительно сократилась группа МО, которым не </w:t>
      </w:r>
      <w:r w:rsidRPr="004A6D8A">
        <w:t>удалось набрать более 41 балла</w:t>
      </w:r>
      <w:r w:rsidR="00000950">
        <w:t xml:space="preserve">, </w:t>
      </w:r>
      <w:r w:rsidR="00000950" w:rsidRPr="004A6D8A">
        <w:t>соответствующая «неудовлетворительному» уровню</w:t>
      </w:r>
      <w:r w:rsidR="00F86442">
        <w:t>, при этом самый низший суммарный бал вырос до 37</w:t>
      </w:r>
      <w:r w:rsidR="0034014C">
        <w:t xml:space="preserve"> </w:t>
      </w:r>
      <w:r w:rsidR="00F86442">
        <w:t>баллов.</w:t>
      </w:r>
      <w:r w:rsidR="00000950">
        <w:t xml:space="preserve"> </w:t>
      </w:r>
    </w:p>
    <w:p w:rsidR="00931F42" w:rsidRDefault="00931F42" w:rsidP="00931F42">
      <w:pPr>
        <w:autoSpaceDE w:val="0"/>
        <w:autoSpaceDN w:val="0"/>
        <w:adjustRightInd w:val="0"/>
        <w:ind w:firstLine="709"/>
        <w:jc w:val="both"/>
      </w:pPr>
      <w:r>
        <w:t>Исходя из суммарного количества набранных баллов, распределение муниципальных образований по группам произошло следующим образом.</w:t>
      </w:r>
    </w:p>
    <w:p w:rsidR="00931F42" w:rsidRDefault="00931F42" w:rsidP="00931F42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lastRenderedPageBreak/>
        <w:t xml:space="preserve">Рейтинг </w:t>
      </w:r>
      <w:r>
        <w:rPr>
          <w:b/>
        </w:rPr>
        <w:br/>
        <w:t xml:space="preserve">муниципальных образований Ульяновской области </w:t>
      </w:r>
      <w:r>
        <w:rPr>
          <w:b/>
        </w:rPr>
        <w:br/>
        <w:t>по уровню развития ОРВ за 2017 год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367"/>
        <w:gridCol w:w="2268"/>
        <w:gridCol w:w="2835"/>
      </w:tblGrid>
      <w:tr w:rsidR="00931F42" w:rsidRPr="00121891" w:rsidTr="009A2AC0">
        <w:trPr>
          <w:trHeight w:val="629"/>
        </w:trPr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Default="00931F42" w:rsidP="009A2AC0">
            <w:pPr>
              <w:spacing w:line="240" w:lineRule="exact"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891">
              <w:rPr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931F42" w:rsidRPr="00121891" w:rsidRDefault="00931F42" w:rsidP="009A2AC0">
            <w:pPr>
              <w:spacing w:line="240" w:lineRule="exact"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121891">
              <w:rPr>
                <w:b/>
                <w:bCs/>
                <w:color w:val="000000"/>
                <w:sz w:val="24"/>
                <w:szCs w:val="24"/>
              </w:rPr>
              <w:t xml:space="preserve"> рейтинге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F42" w:rsidRDefault="00931F42" w:rsidP="009A2AC0">
            <w:pPr>
              <w:spacing w:line="240" w:lineRule="exact"/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891">
              <w:rPr>
                <w:b/>
                <w:bCs/>
                <w:color w:val="000000"/>
                <w:sz w:val="24"/>
                <w:szCs w:val="24"/>
              </w:rPr>
              <w:t xml:space="preserve">Муниципальные </w:t>
            </w:r>
          </w:p>
          <w:p w:rsidR="00931F42" w:rsidRPr="00121891" w:rsidRDefault="00931F42" w:rsidP="009A2AC0">
            <w:pPr>
              <w:spacing w:line="240" w:lineRule="exact"/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891">
              <w:rPr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  <w:p w:rsidR="00931F42" w:rsidRPr="00903167" w:rsidRDefault="00931F42" w:rsidP="009A2AC0">
            <w:pPr>
              <w:spacing w:line="24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(изменение позиции по сравнению с 2016 годом)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931F42" w:rsidRPr="00121891" w:rsidTr="009A2AC0">
        <w:trPr>
          <w:trHeight w:val="254"/>
        </w:trPr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Pr="0014759B" w:rsidRDefault="00931F42" w:rsidP="009A2AC0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4759B">
              <w:rPr>
                <w:bCs/>
                <w:color w:val="000000"/>
                <w:sz w:val="24"/>
                <w:szCs w:val="24"/>
              </w:rPr>
              <w:t>Высший уровень</w:t>
            </w:r>
          </w:p>
        </w:tc>
      </w:tr>
      <w:tr w:rsidR="00931F42" w:rsidRPr="00121891" w:rsidTr="009A2AC0">
        <w:trPr>
          <w:trHeight w:val="259"/>
        </w:trPr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121891" w:rsidRDefault="00931F42" w:rsidP="006063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 xml:space="preserve">Димитровград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1F42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432BC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(+22)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Pr="0014759B" w:rsidRDefault="00931F42" w:rsidP="009A2AC0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Хороший уровень</w:t>
            </w:r>
          </w:p>
        </w:tc>
      </w:tr>
      <w:tr w:rsidR="00931F42" w:rsidRPr="00121891" w:rsidTr="009A2AC0">
        <w:trPr>
          <w:trHeight w:val="264"/>
        </w:trPr>
        <w:tc>
          <w:tcPr>
            <w:tcW w:w="1169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121891" w:rsidRDefault="00931F42" w:rsidP="006063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Барышский район</w:t>
            </w: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1F42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(+4)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3CC" w:rsidRPr="00121891" w:rsidTr="008B43CC">
        <w:trPr>
          <w:trHeight w:val="264"/>
        </w:trPr>
        <w:tc>
          <w:tcPr>
            <w:tcW w:w="116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43CC" w:rsidRPr="00121891" w:rsidRDefault="008B43CC" w:rsidP="008B43CC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B43CC" w:rsidRPr="00121891" w:rsidRDefault="008B43CC" w:rsidP="006063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B43CC" w:rsidRDefault="008B43CC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(+13)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3CC" w:rsidRPr="00121891" w:rsidRDefault="008B43CC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3CC" w:rsidRPr="00121891" w:rsidTr="006063B3">
        <w:trPr>
          <w:trHeight w:val="264"/>
        </w:trPr>
        <w:tc>
          <w:tcPr>
            <w:tcW w:w="11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3CC" w:rsidRDefault="008B43CC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3CC" w:rsidRPr="00121891" w:rsidRDefault="008B43CC" w:rsidP="006063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Инзенский район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3CC" w:rsidRDefault="008B43CC" w:rsidP="00F86442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0708A1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3CC" w:rsidRPr="00121891" w:rsidRDefault="008B43CC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F42" w:rsidRPr="00121891" w:rsidTr="006063B3">
        <w:trPr>
          <w:trHeight w:val="264"/>
        </w:trPr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Default="008B43CC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Кузоватовский район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(+8)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1F42" w:rsidRPr="00092CE9" w:rsidRDefault="00931F42" w:rsidP="009A2AC0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Удовлетворительный уровень</w:t>
            </w:r>
          </w:p>
        </w:tc>
      </w:tr>
      <w:tr w:rsidR="00931F42" w:rsidRPr="00121891" w:rsidTr="006063B3">
        <w:trPr>
          <w:trHeight w:val="264"/>
        </w:trPr>
        <w:tc>
          <w:tcPr>
            <w:tcW w:w="1169" w:type="dxa"/>
            <w:vMerge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0540B4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Майнский район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(+6)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Default="00931F42" w:rsidP="009A2AC0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264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1F42" w:rsidRDefault="008B43CC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(+13)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31F42" w:rsidRPr="00432BC6" w:rsidRDefault="008B43CC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Сурский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(+19)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31F42" w:rsidRPr="00432BC6" w:rsidRDefault="008B43CC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Цильнинский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(+18)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256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31F42" w:rsidRPr="00432BC6" w:rsidRDefault="008B43CC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Ульяновск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(-17)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231"/>
        </w:trPr>
        <w:tc>
          <w:tcPr>
            <w:tcW w:w="1169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8B43CC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  <w:p w:rsidR="00931F42" w:rsidRPr="00432BC6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 xml:space="preserve">Радищевский район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44FB9" w:rsidRDefault="00931F42" w:rsidP="009A2AC0">
            <w:pPr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(-</w:t>
            </w:r>
            <w:r>
              <w:rPr>
                <w:i/>
                <w:color w:val="000000"/>
                <w:sz w:val="20"/>
                <w:szCs w:val="20"/>
              </w:rPr>
              <w:t>1</w:t>
            </w:r>
            <w:r w:rsidRPr="000708A1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Карсунский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(+10)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vMerge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Павловский 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(+18)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8B43CC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Вешкаймский район</w:t>
            </w: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51</w:t>
            </w:r>
            <w:r w:rsidRPr="000540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(+6)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191"/>
        </w:trPr>
        <w:tc>
          <w:tcPr>
            <w:tcW w:w="11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Старомайнский район</w:t>
            </w: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(+25)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8B43CC">
        <w:trPr>
          <w:trHeight w:val="297"/>
        </w:trPr>
        <w:tc>
          <w:tcPr>
            <w:tcW w:w="1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8B43CC" w:rsidP="008B43C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Чердаклинский район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(+25)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8B43C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B43C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Новомалыклинский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(+21)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Сенгилеевский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(-5)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31F42" w:rsidRPr="00432BC6" w:rsidRDefault="00931F42" w:rsidP="008B43C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B43C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Николаевский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44</w:t>
            </w:r>
            <w:r w:rsidRPr="000540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(+14)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31F42" w:rsidRPr="00432BC6" w:rsidRDefault="00931F42" w:rsidP="008B43C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B43C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Новоспасский район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(0)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8B43CC">
        <w:trPr>
          <w:trHeight w:val="50"/>
        </w:trPr>
        <w:tc>
          <w:tcPr>
            <w:tcW w:w="11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8B43CC" w:rsidP="008B43C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Ульяновский район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(+4)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Неудовлетворительный уровень</w:t>
            </w: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vMerge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Тереньгульский район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(+5)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31F42" w:rsidRPr="00432BC6" w:rsidRDefault="008B43CC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Мелекесский район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(-16)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F42" w:rsidRPr="00121891" w:rsidTr="009A2AC0">
        <w:trPr>
          <w:trHeight w:val="300"/>
        </w:trPr>
        <w:tc>
          <w:tcPr>
            <w:tcW w:w="116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8B43CC" w:rsidP="009A2A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6063B3">
            <w:pPr>
              <w:rPr>
                <w:color w:val="000000"/>
                <w:sz w:val="24"/>
                <w:szCs w:val="24"/>
              </w:rPr>
            </w:pPr>
            <w:r w:rsidRPr="00432BC6">
              <w:rPr>
                <w:color w:val="000000"/>
                <w:sz w:val="24"/>
                <w:szCs w:val="24"/>
              </w:rPr>
              <w:t>Новоульяновск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F42" w:rsidRPr="00432BC6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32BC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0540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08A1">
              <w:rPr>
                <w:i/>
                <w:color w:val="000000"/>
                <w:sz w:val="20"/>
                <w:szCs w:val="20"/>
              </w:rPr>
              <w:t>(+12)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F42" w:rsidRPr="00121891" w:rsidRDefault="00931F42" w:rsidP="009A2A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D77" w:rsidRDefault="00931F42" w:rsidP="00931F4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931F42" w:rsidRPr="00B42C78" w:rsidRDefault="00931F42" w:rsidP="00A57D7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76BF2">
        <w:t xml:space="preserve">В число </w:t>
      </w:r>
      <w:r w:rsidRPr="00B42C78">
        <w:rPr>
          <w:b/>
        </w:rPr>
        <w:t>лидеров Рейтинга по итогам 2017 года</w:t>
      </w:r>
      <w:r w:rsidRPr="00B76BF2">
        <w:t xml:space="preserve"> вошли муниципальные образования </w:t>
      </w:r>
      <w:r w:rsidRPr="00B42C78">
        <w:rPr>
          <w:b/>
        </w:rPr>
        <w:t>«г.Димитровград»,</w:t>
      </w:r>
      <w:r w:rsidRPr="00B76BF2">
        <w:t xml:space="preserve"> </w:t>
      </w:r>
      <w:r>
        <w:t xml:space="preserve">повысивший суммарный балл на 22 позиции и возглавивший рейтинг, а также </w:t>
      </w:r>
      <w:r w:rsidRPr="00B42C78">
        <w:rPr>
          <w:b/>
        </w:rPr>
        <w:t>«Барышский район», «Старокулаткинский район» и «Инзенский район».</w:t>
      </w:r>
    </w:p>
    <w:p w:rsidR="00931F42" w:rsidRDefault="00931F42" w:rsidP="00931F42">
      <w:pPr>
        <w:autoSpaceDE w:val="0"/>
        <w:autoSpaceDN w:val="0"/>
        <w:adjustRightInd w:val="0"/>
        <w:jc w:val="both"/>
      </w:pPr>
      <w:r>
        <w:tab/>
      </w:r>
      <w:r>
        <w:rPr>
          <w:b/>
        </w:rPr>
        <w:t>Необходимо отметить, что</w:t>
      </w:r>
      <w:r w:rsidRPr="00F52857">
        <w:rPr>
          <w:b/>
        </w:rPr>
        <w:t xml:space="preserve"> положительная динамика </w:t>
      </w:r>
      <w:r w:rsidRPr="00F52857">
        <w:t xml:space="preserve">была отмечена по абсолютному </w:t>
      </w:r>
      <w:r>
        <w:t xml:space="preserve">большинству </w:t>
      </w:r>
      <w:r w:rsidRPr="00F52857">
        <w:t xml:space="preserve">муниципальных образований. По сравнению с 2016 годом </w:t>
      </w:r>
      <w:r>
        <w:t>значительно</w:t>
      </w:r>
      <w:r w:rsidRPr="00F52857">
        <w:t xml:space="preserve"> улучшили свой результат Старомайнский и Чердаклинский районы </w:t>
      </w:r>
      <w:r w:rsidRPr="00F52857">
        <w:rPr>
          <w:i/>
        </w:rPr>
        <w:t>(+25 баллов),</w:t>
      </w:r>
      <w:r w:rsidRPr="00F52857">
        <w:t xml:space="preserve"> Новомалыклинский район </w:t>
      </w:r>
      <w:r w:rsidRPr="00F52857">
        <w:rPr>
          <w:i/>
        </w:rPr>
        <w:t>(+21балл),</w:t>
      </w:r>
      <w:r>
        <w:rPr>
          <w:i/>
        </w:rPr>
        <w:t xml:space="preserve"> </w:t>
      </w:r>
      <w:r w:rsidRPr="00F52857">
        <w:t xml:space="preserve">Сурский район </w:t>
      </w:r>
      <w:r w:rsidRPr="00F52857">
        <w:rPr>
          <w:i/>
        </w:rPr>
        <w:t>(+19 баллов),</w:t>
      </w:r>
      <w:r w:rsidRPr="00F52857">
        <w:t xml:space="preserve"> Цильнинский и Павловский районы </w:t>
      </w:r>
      <w:r w:rsidRPr="00F52857">
        <w:rPr>
          <w:i/>
        </w:rPr>
        <w:t>(+18 баллов),</w:t>
      </w:r>
      <w:r w:rsidRPr="00F52857">
        <w:t xml:space="preserve"> </w:t>
      </w:r>
      <w:r>
        <w:t xml:space="preserve">Николаевский район </w:t>
      </w:r>
      <w:r w:rsidRPr="00FC1767">
        <w:rPr>
          <w:i/>
        </w:rPr>
        <w:t>(+14 баллов),</w:t>
      </w:r>
      <w:r>
        <w:t xml:space="preserve"> </w:t>
      </w:r>
      <w:r w:rsidRPr="00F52857">
        <w:t>что позволило данным муниципальным образованиям перейти из «неудовлетворительной» группы в «удовлетворительную».</w:t>
      </w:r>
    </w:p>
    <w:p w:rsidR="00931F42" w:rsidRPr="003B3DA4" w:rsidRDefault="00931F42" w:rsidP="00931F4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Отрицательная динамика в 2017 году была зафиксирована у г. Ульяновск, который снизил свои позиции </w:t>
      </w:r>
      <w:r w:rsidRPr="00F52857">
        <w:rPr>
          <w:i/>
        </w:rPr>
        <w:t>(</w:t>
      </w:r>
      <w:r>
        <w:rPr>
          <w:i/>
        </w:rPr>
        <w:t>–</w:t>
      </w:r>
      <w:r w:rsidRPr="00F52857">
        <w:rPr>
          <w:i/>
        </w:rPr>
        <w:t xml:space="preserve"> 17 баллов)</w:t>
      </w:r>
      <w:r>
        <w:rPr>
          <w:i/>
        </w:rPr>
        <w:t xml:space="preserve"> </w:t>
      </w:r>
      <w:r>
        <w:t xml:space="preserve">и уступил «лидерство» </w:t>
      </w:r>
      <w:r>
        <w:br/>
        <w:t xml:space="preserve">г. </w:t>
      </w:r>
      <w:r w:rsidRPr="003B3DA4">
        <w:t xml:space="preserve">Димитровград, </w:t>
      </w:r>
      <w:r w:rsidR="00327146">
        <w:t xml:space="preserve">также </w:t>
      </w:r>
      <w:r w:rsidRPr="003B3DA4">
        <w:t>снизили свои показатели Мелекесский и Сенгилеевский районы. Снижение баллов можно объяснить значительно возросшими требованиями к критериям, характеризующим качество проведения ОРВ и экспертизы, а также нестабильностью кадрового состава уполномоченных за проведение ОРВ в органах местного самоуправления.</w:t>
      </w:r>
    </w:p>
    <w:p w:rsidR="008B43CC" w:rsidRDefault="00931F42" w:rsidP="00931F42">
      <w:pPr>
        <w:autoSpaceDE w:val="0"/>
        <w:autoSpaceDN w:val="0"/>
        <w:adjustRightInd w:val="0"/>
        <w:jc w:val="both"/>
      </w:pPr>
      <w:r>
        <w:tab/>
        <w:t xml:space="preserve">В целом необходимо отметить, что качество реализации механизмов оценки регулирующего воздействия и экспертизы в 2017 году в органах местного самоуправления муниципальных образований Ульяновской области повысилось. </w:t>
      </w:r>
      <w:r w:rsidR="00B42C78">
        <w:t>П</w:t>
      </w:r>
      <w:r w:rsidR="00EC4736">
        <w:t>о сравнению с предыдущим годом выросло количество отзывов, полученных в процессе публичного обсуждения проектов муни</w:t>
      </w:r>
      <w:r w:rsidR="005C082C">
        <w:t>ципальных НПА и действующих муниципальных НПА,</w:t>
      </w:r>
      <w:r w:rsidR="008B43CC">
        <w:t xml:space="preserve"> </w:t>
      </w:r>
      <w:r w:rsidR="005C082C">
        <w:t xml:space="preserve">при подготовке заключений по ОРВ и экспертизе </w:t>
      </w:r>
      <w:r w:rsidR="008B43CC">
        <w:t xml:space="preserve">чаще используются </w:t>
      </w:r>
      <w:r w:rsidR="005C082C">
        <w:t xml:space="preserve">количественные методы оценки, статистические  данные. Увеличилось количество заключений, содержащих предложения и рекомендации по совершенствованию вновь принимаемых или уже действующих муниципальных НПА. </w:t>
      </w:r>
      <w:r w:rsidR="00B42C78">
        <w:t xml:space="preserve">Практически во всех муниципальных образованиях на постоянной основе налажена работа коллегиального совещательного органа по ОРВ </w:t>
      </w:r>
      <w:r w:rsidR="00B42C78" w:rsidRPr="00B42C78">
        <w:rPr>
          <w:i/>
        </w:rPr>
        <w:t>(рабочей группы или консультативного совета).</w:t>
      </w:r>
      <w:r w:rsidR="00B42C78">
        <w:t xml:space="preserve"> </w:t>
      </w:r>
    </w:p>
    <w:p w:rsidR="00931F42" w:rsidRDefault="00B42C78" w:rsidP="00931F42">
      <w:pPr>
        <w:autoSpaceDE w:val="0"/>
        <w:autoSpaceDN w:val="0"/>
        <w:adjustRightInd w:val="0"/>
        <w:jc w:val="both"/>
      </w:pPr>
      <w:r>
        <w:tab/>
        <w:t xml:space="preserve">Как следствие, даже группа </w:t>
      </w:r>
      <w:r w:rsidR="00931F42">
        <w:t>муниципальных образований, находящ</w:t>
      </w:r>
      <w:r>
        <w:t>их</w:t>
      </w:r>
      <w:r w:rsidR="00931F42">
        <w:t>ся на нижних позициях рейтинга (</w:t>
      </w:r>
      <w:r w:rsidR="00931F42" w:rsidRPr="00B56DE6">
        <w:rPr>
          <w:i/>
        </w:rPr>
        <w:t>г.Новоульяновск, Мелекесский, Тереньгульский и Ульяновский районы)</w:t>
      </w:r>
      <w:r w:rsidR="00931F42">
        <w:rPr>
          <w:i/>
        </w:rPr>
        <w:t>,</w:t>
      </w:r>
      <w:r w:rsidR="00931F42">
        <w:t xml:space="preserve"> занимает пограничную позицию между «неудовлетворительным» и «удовлетворительным» уровнем, для перехода на который не хватило буквально 1-2 баллов. </w:t>
      </w:r>
    </w:p>
    <w:p w:rsidR="00931F42" w:rsidRDefault="00931F42" w:rsidP="006063B3">
      <w:pPr>
        <w:autoSpaceDE w:val="0"/>
        <w:autoSpaceDN w:val="0"/>
        <w:adjustRightInd w:val="0"/>
        <w:spacing w:after="120"/>
        <w:ind w:firstLine="709"/>
        <w:jc w:val="both"/>
      </w:pPr>
      <w:r>
        <w:t>При этом самый низкий бал рейтинга по сравнению с 2016 годом поднялся с 25 до 37 баллов.</w:t>
      </w:r>
    </w:p>
    <w:p w:rsidR="0084189B" w:rsidRDefault="0084189B" w:rsidP="0084189B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A6D8A">
        <w:t>Сравнительный анализ данных 201</w:t>
      </w:r>
      <w:r>
        <w:t>5–</w:t>
      </w:r>
      <w:r w:rsidRPr="004A6D8A">
        <w:t xml:space="preserve">2017 г.г. показал, что в целом отмечается </w:t>
      </w:r>
      <w:r w:rsidRPr="004A6D8A">
        <w:rPr>
          <w:b/>
          <w:spacing w:val="-4"/>
        </w:rPr>
        <w:t>положительная динамика распределения муниципальных образований по соответствующим группам</w:t>
      </w:r>
      <w:r>
        <w:rPr>
          <w:b/>
          <w:spacing w:val="-4"/>
        </w:rPr>
        <w:t xml:space="preserve"> </w:t>
      </w:r>
      <w:r w:rsidRPr="00903167">
        <w:rPr>
          <w:spacing w:val="-4"/>
        </w:rPr>
        <w:t>(представлена на диаграмме).</w:t>
      </w:r>
    </w:p>
    <w:p w:rsidR="0084189B" w:rsidRDefault="0084189B" w:rsidP="0084189B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</w:p>
    <w:p w:rsidR="0084189B" w:rsidRDefault="0084189B" w:rsidP="0084189B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7925267" wp14:editId="636FF6A2">
            <wp:extent cx="5524500" cy="21145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6442" w:rsidRPr="009A2AC0" w:rsidRDefault="00A57D77" w:rsidP="00327146">
      <w:pPr>
        <w:autoSpaceDE w:val="0"/>
        <w:autoSpaceDN w:val="0"/>
        <w:adjustRightInd w:val="0"/>
        <w:ind w:firstLine="709"/>
        <w:jc w:val="both"/>
      </w:pPr>
      <w:r>
        <w:t xml:space="preserve">Из данных диаграммы следует, что ежегодно увеличивается количество </w:t>
      </w:r>
      <w:r w:rsidR="007743F0">
        <w:t>муниципальных образований</w:t>
      </w:r>
      <w:r>
        <w:t xml:space="preserve">, отнесённых к «хорошему» </w:t>
      </w:r>
      <w:r w:rsidR="009A2AC0" w:rsidRPr="009A2AC0">
        <w:rPr>
          <w:i/>
        </w:rPr>
        <w:t>(выросло в 4 раза</w:t>
      </w:r>
      <w:r w:rsidR="007743F0">
        <w:rPr>
          <w:i/>
        </w:rPr>
        <w:t xml:space="preserve"> по </w:t>
      </w:r>
      <w:r w:rsidR="007743F0">
        <w:rPr>
          <w:i/>
        </w:rPr>
        <w:lastRenderedPageBreak/>
        <w:t>сравнению с 2016 годом</w:t>
      </w:r>
      <w:r w:rsidR="009A2AC0" w:rsidRPr="009A2AC0">
        <w:rPr>
          <w:i/>
        </w:rPr>
        <w:t>)</w:t>
      </w:r>
      <w:r w:rsidR="009A2AC0">
        <w:t xml:space="preserve"> </w:t>
      </w:r>
      <w:r>
        <w:t>и «удовлетворительному»</w:t>
      </w:r>
      <w:r w:rsidR="009A2AC0">
        <w:t xml:space="preserve"> </w:t>
      </w:r>
      <w:r w:rsidR="009A2AC0" w:rsidRPr="009A2AC0">
        <w:rPr>
          <w:i/>
        </w:rPr>
        <w:t>(выросло в 2,3 раза)</w:t>
      </w:r>
      <w:r w:rsidRPr="009A2AC0">
        <w:t xml:space="preserve"> уровням, а также сокращается число муниципалитетов «неудовлетворительного уровня»</w:t>
      </w:r>
      <w:r w:rsidR="009A2AC0" w:rsidRPr="009A2AC0">
        <w:t xml:space="preserve"> </w:t>
      </w:r>
      <w:r w:rsidR="009A2AC0" w:rsidRPr="009A2AC0">
        <w:rPr>
          <w:i/>
        </w:rPr>
        <w:t>(сократилось в 4 раза).</w:t>
      </w:r>
    </w:p>
    <w:p w:rsidR="00630135" w:rsidRDefault="00630135" w:rsidP="00A57D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57D77" w:rsidRPr="009A2AC0" w:rsidRDefault="00A57D77" w:rsidP="00A57D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2AC0">
        <w:rPr>
          <w:b/>
        </w:rPr>
        <w:t xml:space="preserve">При подведении итогов </w:t>
      </w:r>
      <w:r w:rsidR="009A2AC0" w:rsidRPr="009A2AC0">
        <w:rPr>
          <w:b/>
        </w:rPr>
        <w:t xml:space="preserve">Министерством развития конкуренции и экономики Ульяновской области </w:t>
      </w:r>
      <w:r w:rsidRPr="009A2AC0">
        <w:t xml:space="preserve">была проведена комплексная оценка качества внедрения и развития механизмов ОРВ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инвестиционной деятельности, в органах местного самоуправления муниципальных образований Ульяновской области. При этом, особое внимание уделялось не столько количественным показателям, характеризующим число подготовленных заключений, сколько </w:t>
      </w:r>
      <w:r w:rsidRPr="009A2AC0">
        <w:rPr>
          <w:b/>
        </w:rPr>
        <w:t>показателям, характеризующим качество проведённой оценки регулирующего воздействия и экспертизы.</w:t>
      </w:r>
    </w:p>
    <w:p w:rsidR="009A2AC0" w:rsidRDefault="00931F42" w:rsidP="00931F42">
      <w:pPr>
        <w:autoSpaceDE w:val="0"/>
        <w:autoSpaceDN w:val="0"/>
        <w:adjustRightInd w:val="0"/>
        <w:ind w:firstLine="709"/>
        <w:jc w:val="both"/>
      </w:pPr>
      <w:r>
        <w:t xml:space="preserve">В настоящее время </w:t>
      </w:r>
      <w:r w:rsidRPr="00AB115F">
        <w:rPr>
          <w:b/>
        </w:rPr>
        <w:t>во всех муниципальных образованиях региона</w:t>
      </w:r>
      <w:r>
        <w:t xml:space="preserve"> </w:t>
      </w:r>
      <w:r w:rsidRPr="00AB115F">
        <w:rPr>
          <w:b/>
        </w:rPr>
        <w:t>утверждена вся необходимая нормативная правовая база</w:t>
      </w:r>
      <w:r w:rsidRPr="00563B4A">
        <w:t xml:space="preserve">, регламентирующая проведение ОРВ и экспертизы. </w:t>
      </w:r>
      <w:r w:rsidR="009A2AC0">
        <w:t>По</w:t>
      </w:r>
      <w:r w:rsidR="009A2AC0" w:rsidRPr="00563B4A">
        <w:t xml:space="preserve"> </w:t>
      </w:r>
      <w:r w:rsidR="009A2AC0">
        <w:t xml:space="preserve">состоянию </w:t>
      </w:r>
      <w:r w:rsidR="009A2AC0" w:rsidRPr="00AB115F">
        <w:rPr>
          <w:b/>
        </w:rPr>
        <w:t>на 01.01.2018</w:t>
      </w:r>
      <w:r w:rsidR="009A2AC0">
        <w:t xml:space="preserve"> вся </w:t>
      </w:r>
      <w:r w:rsidR="009A2AC0" w:rsidRPr="00563B4A">
        <w:t xml:space="preserve">нормативная правовая база муниципалитетов была </w:t>
      </w:r>
      <w:r w:rsidR="009A2AC0" w:rsidRPr="00AB115F">
        <w:rPr>
          <w:b/>
          <w:u w:val="single"/>
        </w:rPr>
        <w:t>приведена в соответствие с изменениями, внесёнными в федеральное и региональное законодательство</w:t>
      </w:r>
      <w:r w:rsidR="009A2AC0" w:rsidRPr="00563B4A">
        <w:t>.</w:t>
      </w:r>
      <w:r w:rsidR="009A2AC0">
        <w:t xml:space="preserve"> </w:t>
      </w:r>
    </w:p>
    <w:p w:rsidR="00931F42" w:rsidRPr="009A2AC0" w:rsidRDefault="00931F42" w:rsidP="00931F42">
      <w:pPr>
        <w:autoSpaceDE w:val="0"/>
        <w:autoSpaceDN w:val="0"/>
        <w:adjustRightInd w:val="0"/>
        <w:ind w:firstLine="709"/>
        <w:jc w:val="both"/>
      </w:pPr>
      <w:r>
        <w:t xml:space="preserve">Кроме того, </w:t>
      </w:r>
      <w:r w:rsidR="009A2AC0">
        <w:t>все н</w:t>
      </w:r>
      <w:r w:rsidR="009A2AC0" w:rsidRPr="00563B4A">
        <w:t>ормативные правовые акты и т</w:t>
      </w:r>
      <w:r w:rsidR="009A2AC0" w:rsidRPr="00563B4A">
        <w:rPr>
          <w:bCs/>
        </w:rPr>
        <w:t xml:space="preserve">иповые формы </w:t>
      </w:r>
      <w:r w:rsidR="009A2AC0" w:rsidRPr="009A2AC0">
        <w:rPr>
          <w:bCs/>
        </w:rPr>
        <w:t xml:space="preserve">документов </w:t>
      </w:r>
      <w:r w:rsidR="009A2AC0" w:rsidRPr="009A2AC0">
        <w:t xml:space="preserve">размещены на официальных сайтах муниципальных образований. </w:t>
      </w:r>
    </w:p>
    <w:p w:rsidR="009A2AC0" w:rsidRPr="009A2AC0" w:rsidRDefault="009A2AC0" w:rsidP="009A2AC0">
      <w:pPr>
        <w:autoSpaceDE w:val="0"/>
        <w:autoSpaceDN w:val="0"/>
        <w:adjustRightInd w:val="0"/>
        <w:spacing w:before="240"/>
        <w:ind w:firstLine="709"/>
        <w:jc w:val="both"/>
      </w:pPr>
      <w:r w:rsidRPr="009A2AC0">
        <w:rPr>
          <w:b/>
        </w:rPr>
        <w:t>В части организации практической работы</w:t>
      </w:r>
      <w:r w:rsidRPr="009A2AC0">
        <w:t xml:space="preserve"> необходимо отметить, что особое внимание </w:t>
      </w:r>
      <w:r w:rsidRPr="009A2AC0">
        <w:rPr>
          <w:b/>
        </w:rPr>
        <w:t>при подведении итогов обращалось на количество и качество проведённых ОРВ и экспертиз,</w:t>
      </w:r>
      <w:r w:rsidRPr="009A2AC0">
        <w:t xml:space="preserve"> </w:t>
      </w:r>
      <w:r w:rsidR="00CE1DC3">
        <w:t xml:space="preserve">качество </w:t>
      </w:r>
      <w:r w:rsidRPr="009A2AC0">
        <w:t>подготовленных заключений, а также количество отзывов, полученных в ходе публичных обсуждений.</w:t>
      </w:r>
    </w:p>
    <w:p w:rsidR="00863DB4" w:rsidRDefault="0031489B" w:rsidP="0031489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74428">
        <w:t xml:space="preserve">Всего за </w:t>
      </w:r>
      <w:r w:rsidR="00734CDB" w:rsidRPr="00C74428">
        <w:t>отчётный период</w:t>
      </w:r>
      <w:r w:rsidRPr="00C74428">
        <w:t xml:space="preserve"> на уровне муниципальных образований Ульяновской области была проведена </w:t>
      </w:r>
      <w:r w:rsidRPr="00C74428">
        <w:rPr>
          <w:b/>
          <w:u w:val="single"/>
        </w:rPr>
        <w:t xml:space="preserve">ОРВ 119 проектов муниципальных НПА, что превышает </w:t>
      </w:r>
      <w:r w:rsidRPr="00C74428">
        <w:rPr>
          <w:u w:val="single"/>
        </w:rPr>
        <w:t>аналогичный показатель 2016 года</w:t>
      </w:r>
      <w:r w:rsidRPr="00C74428">
        <w:rPr>
          <w:b/>
          <w:u w:val="single"/>
        </w:rPr>
        <w:t xml:space="preserve"> </w:t>
      </w:r>
      <w:r w:rsidR="00C74428" w:rsidRPr="00C74428">
        <w:rPr>
          <w:i/>
          <w:u w:val="single"/>
        </w:rPr>
        <w:t>(106 заключений)</w:t>
      </w:r>
      <w:r w:rsidR="00C74428" w:rsidRPr="00C74428">
        <w:rPr>
          <w:b/>
          <w:u w:val="single"/>
        </w:rPr>
        <w:t xml:space="preserve"> </w:t>
      </w:r>
      <w:r w:rsidRPr="00C74428">
        <w:rPr>
          <w:b/>
          <w:u w:val="single"/>
        </w:rPr>
        <w:t>на</w:t>
      </w:r>
      <w:r w:rsidR="00734CDB" w:rsidRPr="00C74428">
        <w:rPr>
          <w:b/>
          <w:u w:val="single"/>
        </w:rPr>
        <w:t xml:space="preserve"> </w:t>
      </w:r>
      <w:r w:rsidRPr="00C74428">
        <w:rPr>
          <w:b/>
          <w:u w:val="single"/>
        </w:rPr>
        <w:t>11,2%</w:t>
      </w:r>
      <w:r w:rsidRPr="00C74428">
        <w:rPr>
          <w:b/>
        </w:rPr>
        <w:t xml:space="preserve">. </w:t>
      </w:r>
    </w:p>
    <w:p w:rsidR="00863DB4" w:rsidRDefault="0031489B" w:rsidP="0031489B">
      <w:pPr>
        <w:autoSpaceDE w:val="0"/>
        <w:autoSpaceDN w:val="0"/>
        <w:adjustRightInd w:val="0"/>
        <w:ind w:firstLine="709"/>
        <w:jc w:val="both"/>
      </w:pPr>
      <w:r w:rsidRPr="00C74428">
        <w:t xml:space="preserve">По результатам </w:t>
      </w:r>
      <w:r w:rsidR="00863DB4">
        <w:t xml:space="preserve">проведённой </w:t>
      </w:r>
      <w:r w:rsidR="00F606DC">
        <w:t xml:space="preserve">оценки </w:t>
      </w:r>
      <w:r w:rsidRPr="00C74428">
        <w:t xml:space="preserve">подготовлено 107 </w:t>
      </w:r>
      <w:r w:rsidR="00863DB4" w:rsidRPr="00C74428">
        <w:t xml:space="preserve">заключений </w:t>
      </w:r>
      <w:r w:rsidR="00F606DC">
        <w:br/>
      </w:r>
      <w:r w:rsidR="00863DB4" w:rsidRPr="00C74428">
        <w:t>(89,9 % от общего количества заключений)</w:t>
      </w:r>
      <w:r w:rsidR="00863DB4">
        <w:t xml:space="preserve"> </w:t>
      </w:r>
      <w:r w:rsidRPr="00C74428">
        <w:t>положительных</w:t>
      </w:r>
      <w:r w:rsidR="00F606DC">
        <w:t xml:space="preserve"> и</w:t>
      </w:r>
      <w:r w:rsidR="00863DB4">
        <w:t xml:space="preserve"> </w:t>
      </w:r>
      <w:r w:rsidRPr="00C74428">
        <w:t xml:space="preserve">12 заключений (10,1%) </w:t>
      </w:r>
      <w:r w:rsidR="00863DB4">
        <w:t>–</w:t>
      </w:r>
      <w:r w:rsidRPr="00C74428">
        <w:t xml:space="preserve"> </w:t>
      </w:r>
      <w:r w:rsidR="00863DB4">
        <w:t xml:space="preserve">отрицательных или </w:t>
      </w:r>
      <w:r w:rsidRPr="00C74428">
        <w:t>с</w:t>
      </w:r>
      <w:r w:rsidR="00863DB4">
        <w:t>одержащих</w:t>
      </w:r>
      <w:r w:rsidRPr="00C74428">
        <w:t xml:space="preserve"> замечания и </w:t>
      </w:r>
      <w:r w:rsidR="00863DB4">
        <w:t>рекомендации по доработке представленных проектов НПА</w:t>
      </w:r>
      <w:r w:rsidRPr="00C74428">
        <w:t>.</w:t>
      </w:r>
      <w:r w:rsidR="00C74428" w:rsidRPr="00C74428">
        <w:t xml:space="preserve"> </w:t>
      </w:r>
    </w:p>
    <w:p w:rsidR="0031489B" w:rsidRPr="00C74428" w:rsidRDefault="00173AA8" w:rsidP="0031489B">
      <w:pPr>
        <w:autoSpaceDE w:val="0"/>
        <w:autoSpaceDN w:val="0"/>
        <w:adjustRightInd w:val="0"/>
        <w:ind w:firstLine="709"/>
        <w:jc w:val="both"/>
      </w:pPr>
      <w:r>
        <w:t>Доля отрицательных заключений по ОРВ, или содержащих предложения и замечания по проекта</w:t>
      </w:r>
      <w:r w:rsidR="00863DB4">
        <w:t>м</w:t>
      </w:r>
      <w:r>
        <w:t xml:space="preserve"> муниципальных нормативных правовых актов </w:t>
      </w:r>
      <w:r w:rsidR="00F606DC">
        <w:t xml:space="preserve">по сравнению с 2016 годом </w:t>
      </w:r>
      <w:r>
        <w:t>выросла на 2,6%.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C74428" w:rsidRPr="00C74428" w:rsidTr="00C730CD">
        <w:trPr>
          <w:trHeight w:val="4161"/>
        </w:trPr>
        <w:tc>
          <w:tcPr>
            <w:tcW w:w="4644" w:type="dxa"/>
            <w:shd w:val="clear" w:color="auto" w:fill="auto"/>
          </w:tcPr>
          <w:p w:rsidR="00734CDB" w:rsidRPr="00C74428" w:rsidRDefault="00734CDB" w:rsidP="00C730CD">
            <w:pPr>
              <w:autoSpaceDE w:val="0"/>
              <w:autoSpaceDN w:val="0"/>
              <w:adjustRightInd w:val="0"/>
              <w:jc w:val="both"/>
              <w:rPr>
                <w:i/>
                <w:sz w:val="2"/>
              </w:rPr>
            </w:pPr>
            <w:r w:rsidRPr="00C74428">
              <w:rPr>
                <w:i/>
                <w:noProof/>
              </w:rPr>
              <w:lastRenderedPageBreak/>
              <w:drawing>
                <wp:inline distT="0" distB="0" distL="0" distR="0" wp14:anchorId="20A34497" wp14:editId="328B075C">
                  <wp:extent cx="2721125" cy="2457450"/>
                  <wp:effectExtent l="0" t="0" r="0" b="0"/>
                  <wp:docPr id="7" name="Диаграмм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734CDB" w:rsidRPr="00C74428" w:rsidRDefault="00734CDB" w:rsidP="00C730C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74428">
              <w:rPr>
                <w:i/>
                <w:noProof/>
              </w:rPr>
              <w:drawing>
                <wp:inline distT="0" distB="0" distL="0" distR="0" wp14:anchorId="1AA6183C" wp14:editId="70FC7808">
                  <wp:extent cx="2959397" cy="2457450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6063B3" w:rsidRDefault="006063B3" w:rsidP="003F13A8">
      <w:pPr>
        <w:autoSpaceDE w:val="0"/>
        <w:autoSpaceDN w:val="0"/>
        <w:adjustRightInd w:val="0"/>
        <w:ind w:firstLine="708"/>
        <w:jc w:val="both"/>
      </w:pPr>
    </w:p>
    <w:p w:rsidR="00931F42" w:rsidRDefault="00931F42" w:rsidP="003F13A8">
      <w:pPr>
        <w:autoSpaceDE w:val="0"/>
        <w:autoSpaceDN w:val="0"/>
        <w:adjustRightInd w:val="0"/>
        <w:ind w:firstLine="708"/>
        <w:jc w:val="both"/>
      </w:pPr>
      <w:r>
        <w:t xml:space="preserve">Что касается процедуры ОРВ, </w:t>
      </w:r>
      <w:r w:rsidR="00173AA8">
        <w:t xml:space="preserve">проводимой в отдельных муниципальных образованиях, то </w:t>
      </w:r>
      <w:r w:rsidRPr="00862DC7">
        <w:rPr>
          <w:b/>
        </w:rPr>
        <w:t xml:space="preserve">наибольшее количество заключений </w:t>
      </w:r>
      <w:r>
        <w:t xml:space="preserve">подготовлено в муниципальных образованиях </w:t>
      </w:r>
      <w:r w:rsidR="00327146">
        <w:t xml:space="preserve"> </w:t>
      </w:r>
      <w:r w:rsidR="00327146" w:rsidRPr="00327146">
        <w:rPr>
          <w:b/>
        </w:rPr>
        <w:t>г.</w:t>
      </w:r>
      <w:r w:rsidRPr="00862DC7">
        <w:rPr>
          <w:b/>
        </w:rPr>
        <w:t>Ульяновск –</w:t>
      </w:r>
      <w:r w:rsidR="00327146">
        <w:rPr>
          <w:b/>
        </w:rPr>
        <w:t xml:space="preserve"> </w:t>
      </w:r>
      <w:r w:rsidRPr="00862DC7">
        <w:rPr>
          <w:b/>
        </w:rPr>
        <w:t>50</w:t>
      </w:r>
      <w:r w:rsidR="00327146">
        <w:t xml:space="preserve"> заключений,</w:t>
      </w:r>
      <w:r>
        <w:rPr>
          <w:i/>
        </w:rPr>
        <w:t xml:space="preserve"> </w:t>
      </w:r>
      <w:r w:rsidRPr="00862DC7">
        <w:rPr>
          <w:b/>
        </w:rPr>
        <w:t>Димитровград – 18</w:t>
      </w:r>
      <w:r>
        <w:t xml:space="preserve"> заключений, </w:t>
      </w:r>
      <w:r w:rsidRPr="00862DC7">
        <w:rPr>
          <w:b/>
        </w:rPr>
        <w:t>Павловский</w:t>
      </w:r>
      <w:r>
        <w:t xml:space="preserve"> район – 6 заключений, </w:t>
      </w:r>
      <w:r w:rsidRPr="00862DC7">
        <w:rPr>
          <w:b/>
        </w:rPr>
        <w:t>Чердаклинский</w:t>
      </w:r>
      <w:r>
        <w:t xml:space="preserve"> район – 5 заключений.</w:t>
      </w:r>
    </w:p>
    <w:p w:rsidR="00931F42" w:rsidRPr="00475E10" w:rsidRDefault="00173AA8" w:rsidP="00931F42">
      <w:pPr>
        <w:ind w:firstLine="709"/>
        <w:jc w:val="both"/>
      </w:pPr>
      <w:r>
        <w:t>За год н</w:t>
      </w:r>
      <w:r w:rsidR="00931F42" w:rsidRPr="00475E10">
        <w:t xml:space="preserve">е подготовлено </w:t>
      </w:r>
      <w:r w:rsidR="00931F42" w:rsidRPr="00630135">
        <w:rPr>
          <w:b/>
        </w:rPr>
        <w:t>ни одного заключения по ОРВ</w:t>
      </w:r>
      <w:r w:rsidR="00931F42" w:rsidRPr="00475E10">
        <w:t xml:space="preserve"> в </w:t>
      </w:r>
      <w:r w:rsidR="00931F42" w:rsidRPr="00862DC7">
        <w:rPr>
          <w:b/>
        </w:rPr>
        <w:t>Новомалыклинском и Сенгилеевском районах</w:t>
      </w:r>
      <w:r w:rsidR="00931F42" w:rsidRPr="00475E10">
        <w:t xml:space="preserve">. </w:t>
      </w:r>
    </w:p>
    <w:p w:rsidR="00931F42" w:rsidRDefault="00931F42" w:rsidP="006063B3">
      <w:pPr>
        <w:spacing w:after="120"/>
        <w:ind w:firstLine="709"/>
        <w:jc w:val="both"/>
        <w:rPr>
          <w:bCs/>
        </w:rPr>
      </w:pPr>
      <w:r>
        <w:t xml:space="preserve">При подготовке рейтинга </w:t>
      </w:r>
      <w:r w:rsidRPr="00630135">
        <w:rPr>
          <w:bCs/>
        </w:rPr>
        <w:t>не учитывались</w:t>
      </w:r>
      <w:r w:rsidRPr="00475E10">
        <w:t xml:space="preserve"> </w:t>
      </w:r>
      <w:r>
        <w:t xml:space="preserve">5 заключений  </w:t>
      </w:r>
      <w:r w:rsidRPr="00475E10">
        <w:t xml:space="preserve">на проекты </w:t>
      </w:r>
      <w:r w:rsidRPr="00475E10">
        <w:rPr>
          <w:bCs/>
        </w:rPr>
        <w:t>НПА поселений</w:t>
      </w:r>
      <w:r>
        <w:t xml:space="preserve"> М</w:t>
      </w:r>
      <w:r w:rsidRPr="00475E10">
        <w:t>елекесско</w:t>
      </w:r>
      <w:r>
        <w:t>го</w:t>
      </w:r>
      <w:r w:rsidRPr="00475E10">
        <w:t xml:space="preserve"> район</w:t>
      </w:r>
      <w:r>
        <w:t xml:space="preserve">а и </w:t>
      </w:r>
      <w:r w:rsidRPr="00862DC7">
        <w:rPr>
          <w:bCs/>
        </w:rPr>
        <w:t xml:space="preserve">заключение </w:t>
      </w:r>
      <w:r w:rsidRPr="00862DC7">
        <w:rPr>
          <w:rFonts w:eastAsia="Calibri" w:cs="Tahoma"/>
          <w:szCs w:val="26"/>
        </w:rPr>
        <w:t>об оценке регулирующего воздействия на проект постановления</w:t>
      </w:r>
      <w:r w:rsidRPr="00862DC7">
        <w:rPr>
          <w:sz w:val="24"/>
          <w:szCs w:val="24"/>
          <w:lang w:bidi="en-US"/>
        </w:rPr>
        <w:t xml:space="preserve"> </w:t>
      </w:r>
      <w:r w:rsidRPr="00862DC7">
        <w:rPr>
          <w:lang w:bidi="en-US"/>
        </w:rPr>
        <w:t xml:space="preserve">Муниципального учреждения администрации муниципального образования «Вешкаймский район» «Об утверждении муниципальной программы </w:t>
      </w:r>
      <w:r w:rsidRPr="00862DC7">
        <w:t>«Формирование комфортной среды в муниципальном образовании</w:t>
      </w:r>
      <w:r w:rsidRPr="00862DC7">
        <w:rPr>
          <w:lang w:bidi="en-US"/>
        </w:rPr>
        <w:t xml:space="preserve"> </w:t>
      </w:r>
      <w:r w:rsidRPr="00862DC7">
        <w:t>«Вешкаймское городское поселение» на 2018-2022 годы»</w:t>
      </w:r>
      <w:r>
        <w:t>, так как это</w:t>
      </w:r>
      <w:r w:rsidRPr="00475E10">
        <w:rPr>
          <w:bCs/>
        </w:rPr>
        <w:t xml:space="preserve"> противоречит утверждённым порядкам проведения ОРВ. </w:t>
      </w:r>
    </w:p>
    <w:p w:rsidR="003F13A8" w:rsidRPr="00FD1B21" w:rsidRDefault="003F13A8" w:rsidP="003F13A8">
      <w:pPr>
        <w:ind w:firstLine="708"/>
        <w:jc w:val="both"/>
      </w:pPr>
      <w:r w:rsidRPr="00FD1B21">
        <w:t xml:space="preserve">При </w:t>
      </w:r>
      <w:r w:rsidR="00F606DC">
        <w:t>незначительном</w:t>
      </w:r>
      <w:r w:rsidRPr="00FD1B21">
        <w:t xml:space="preserve"> увеличении количества подготовленных заключений по ОРВ по отношению к уровню прошлого года, налицо </w:t>
      </w:r>
      <w:r w:rsidRPr="00FD1B21">
        <w:rPr>
          <w:b/>
        </w:rPr>
        <w:t>значительный рост активности муниципалитетов в проведении экспертизы</w:t>
      </w:r>
      <w:r>
        <w:rPr>
          <w:b/>
        </w:rPr>
        <w:t>.</w:t>
      </w:r>
      <w:r w:rsidRPr="00FD1B21">
        <w:t xml:space="preserve"> </w:t>
      </w:r>
    </w:p>
    <w:p w:rsidR="00D53820" w:rsidRDefault="003F13A8" w:rsidP="0031489B">
      <w:pPr>
        <w:autoSpaceDE w:val="0"/>
        <w:autoSpaceDN w:val="0"/>
        <w:adjustRightInd w:val="0"/>
        <w:ind w:firstLine="709"/>
        <w:jc w:val="both"/>
      </w:pPr>
      <w:r>
        <w:t>З</w:t>
      </w:r>
      <w:r w:rsidR="0031489B" w:rsidRPr="00CE512D">
        <w:t xml:space="preserve">а отчётный период подготовлено </w:t>
      </w:r>
      <w:r w:rsidR="0031489B" w:rsidRPr="00CE512D">
        <w:rPr>
          <w:b/>
          <w:u w:val="single"/>
        </w:rPr>
        <w:t>84 заключения</w:t>
      </w:r>
      <w:r w:rsidR="0031489B" w:rsidRPr="00CE512D">
        <w:rPr>
          <w:b/>
        </w:rPr>
        <w:t xml:space="preserve"> </w:t>
      </w:r>
      <w:r w:rsidR="0031489B" w:rsidRPr="00CE512D">
        <w:t>по результатам проведения</w:t>
      </w:r>
      <w:r w:rsidR="0031489B" w:rsidRPr="00CE512D">
        <w:rPr>
          <w:b/>
        </w:rPr>
        <w:t xml:space="preserve"> </w:t>
      </w:r>
      <w:r w:rsidR="0031489B" w:rsidRPr="00CE512D">
        <w:rPr>
          <w:b/>
          <w:u w:val="single"/>
        </w:rPr>
        <w:t>экспертизы</w:t>
      </w:r>
      <w:r w:rsidR="0031489B" w:rsidRPr="00CE512D">
        <w:rPr>
          <w:b/>
        </w:rPr>
        <w:t xml:space="preserve"> муниципальных НПА. </w:t>
      </w:r>
      <w:r w:rsidR="0031489B" w:rsidRPr="00CE512D">
        <w:t>Количество подготовленных заключений в 2017 году почти в два раза превышает количество заключений в 2016 году (43 заключения).</w:t>
      </w:r>
      <w:r w:rsidR="00C74428" w:rsidRPr="00CE512D">
        <w:t xml:space="preserve"> Необходимо </w:t>
      </w:r>
      <w:r w:rsidR="00CE512D" w:rsidRPr="00CE512D">
        <w:t>отметить, что в 2017 году более чем в 2 раза увеличилась доля заключений, содержащих предложения и рекомендации, направленные на совершенствование действующих муниципальных НПА.</w:t>
      </w:r>
      <w:r w:rsidR="00394376">
        <w:t xml:space="preserve"> </w:t>
      </w:r>
      <w:r>
        <w:t>Кроме того, п</w:t>
      </w:r>
      <w:r w:rsidR="00D53820">
        <w:t>о результатам экспертизы в 2017 году в 14 НПА были внесены изменения, 3 проекта наход</w:t>
      </w:r>
      <w:r w:rsidR="00CE1DC3">
        <w:t>ятся</w:t>
      </w:r>
      <w:r w:rsidR="00D53820">
        <w:t xml:space="preserve"> на стадии согласования.</w:t>
      </w:r>
    </w:p>
    <w:p w:rsidR="003F13A8" w:rsidRDefault="003F13A8" w:rsidP="0031489B">
      <w:pPr>
        <w:autoSpaceDE w:val="0"/>
        <w:autoSpaceDN w:val="0"/>
        <w:adjustRightInd w:val="0"/>
        <w:ind w:firstLine="709"/>
        <w:jc w:val="both"/>
      </w:pPr>
    </w:p>
    <w:p w:rsidR="007743F0" w:rsidRDefault="007743F0" w:rsidP="0031489B">
      <w:pPr>
        <w:autoSpaceDE w:val="0"/>
        <w:autoSpaceDN w:val="0"/>
        <w:adjustRightInd w:val="0"/>
        <w:ind w:firstLine="709"/>
        <w:jc w:val="both"/>
      </w:pPr>
    </w:p>
    <w:p w:rsidR="007743F0" w:rsidRDefault="007743F0" w:rsidP="0031489B">
      <w:pPr>
        <w:autoSpaceDE w:val="0"/>
        <w:autoSpaceDN w:val="0"/>
        <w:adjustRightInd w:val="0"/>
        <w:ind w:firstLine="709"/>
        <w:jc w:val="both"/>
      </w:pPr>
    </w:p>
    <w:p w:rsidR="006063B3" w:rsidRDefault="006063B3" w:rsidP="0031489B">
      <w:pPr>
        <w:autoSpaceDE w:val="0"/>
        <w:autoSpaceDN w:val="0"/>
        <w:adjustRightInd w:val="0"/>
        <w:ind w:firstLine="709"/>
        <w:jc w:val="both"/>
      </w:pPr>
    </w:p>
    <w:p w:rsidR="0031489B" w:rsidRDefault="003F13A8" w:rsidP="0031489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F13A8">
        <w:rPr>
          <w:b/>
          <w:sz w:val="24"/>
          <w:szCs w:val="24"/>
        </w:rPr>
        <w:lastRenderedPageBreak/>
        <w:t>Доля отрицательных заключений по экспертизе муниципальных НПА</w:t>
      </w:r>
    </w:p>
    <w:p w:rsidR="003F13A8" w:rsidRPr="003F13A8" w:rsidRDefault="003F13A8" w:rsidP="0031489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5186"/>
      </w:tblGrid>
      <w:tr w:rsidR="00C74428" w:rsidRPr="00E721F4" w:rsidTr="00827641">
        <w:trPr>
          <w:trHeight w:val="3558"/>
        </w:trPr>
        <w:tc>
          <w:tcPr>
            <w:tcW w:w="4623" w:type="dxa"/>
            <w:shd w:val="clear" w:color="auto" w:fill="auto"/>
          </w:tcPr>
          <w:p w:rsidR="00827641" w:rsidRPr="00827641" w:rsidRDefault="00C74428" w:rsidP="00827641">
            <w:pPr>
              <w:autoSpaceDE w:val="0"/>
              <w:autoSpaceDN w:val="0"/>
              <w:adjustRightInd w:val="0"/>
              <w:rPr>
                <w:i/>
                <w:color w:val="31849B" w:themeColor="accent5" w:themeShade="BF"/>
                <w:sz w:val="2"/>
              </w:rPr>
            </w:pPr>
            <w:r w:rsidRPr="00E721F4">
              <w:rPr>
                <w:i/>
                <w:noProof/>
                <w:color w:val="31849B" w:themeColor="accent5" w:themeShade="BF"/>
              </w:rPr>
              <w:drawing>
                <wp:inline distT="0" distB="0" distL="0" distR="0" wp14:anchorId="2BE966DE" wp14:editId="341C18B5">
                  <wp:extent cx="2466975" cy="2211141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Pr="00827641" w:rsidRDefault="00827641" w:rsidP="00827641">
            <w:pPr>
              <w:rPr>
                <w:sz w:val="2"/>
              </w:rPr>
            </w:pPr>
          </w:p>
          <w:p w:rsidR="00827641" w:rsidRDefault="00827641" w:rsidP="00827641">
            <w:pPr>
              <w:rPr>
                <w:sz w:val="2"/>
              </w:rPr>
            </w:pPr>
          </w:p>
          <w:p w:rsidR="00827641" w:rsidRDefault="00827641" w:rsidP="00827641">
            <w:pPr>
              <w:rPr>
                <w:sz w:val="2"/>
              </w:rPr>
            </w:pPr>
          </w:p>
          <w:p w:rsidR="00C74428" w:rsidRPr="00827641" w:rsidRDefault="00C74428" w:rsidP="00827641">
            <w:pPr>
              <w:ind w:firstLine="708"/>
              <w:rPr>
                <w:sz w:val="2"/>
              </w:rPr>
            </w:pPr>
          </w:p>
        </w:tc>
        <w:tc>
          <w:tcPr>
            <w:tcW w:w="5186" w:type="dxa"/>
            <w:shd w:val="clear" w:color="auto" w:fill="auto"/>
          </w:tcPr>
          <w:p w:rsidR="00C74428" w:rsidRPr="00E721F4" w:rsidRDefault="00C74428" w:rsidP="00C730CD">
            <w:pPr>
              <w:autoSpaceDE w:val="0"/>
              <w:autoSpaceDN w:val="0"/>
              <w:adjustRightInd w:val="0"/>
              <w:rPr>
                <w:i/>
                <w:color w:val="31849B" w:themeColor="accent5" w:themeShade="BF"/>
              </w:rPr>
            </w:pPr>
            <w:r w:rsidRPr="00E721F4">
              <w:rPr>
                <w:i/>
                <w:noProof/>
                <w:color w:val="31849B" w:themeColor="accent5" w:themeShade="BF"/>
              </w:rPr>
              <w:drawing>
                <wp:inline distT="0" distB="0" distL="0" distR="0" wp14:anchorId="1FD79D5A" wp14:editId="2DBC4336">
                  <wp:extent cx="2095500" cy="2157919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F1A56" w:rsidRPr="00266B59" w:rsidRDefault="003F1A56" w:rsidP="00FD1B21">
      <w:pPr>
        <w:ind w:firstLine="709"/>
        <w:jc w:val="both"/>
      </w:pPr>
      <w:r w:rsidRPr="00CE1DC3">
        <w:rPr>
          <w:b/>
        </w:rPr>
        <w:t xml:space="preserve">Лидерами </w:t>
      </w:r>
      <w:r w:rsidRPr="00FD1B21">
        <w:rPr>
          <w:b/>
        </w:rPr>
        <w:t xml:space="preserve">по количеству подготовленных заключений по экспертизе </w:t>
      </w:r>
      <w:r w:rsidRPr="00266B59">
        <w:rPr>
          <w:b/>
        </w:rPr>
        <w:br/>
      </w:r>
      <w:r w:rsidRPr="00266B59">
        <w:t>в 201</w:t>
      </w:r>
      <w:r w:rsidR="00266B59" w:rsidRPr="00266B59">
        <w:t>7</w:t>
      </w:r>
      <w:r w:rsidRPr="00266B59">
        <w:t xml:space="preserve"> году стали</w:t>
      </w:r>
      <w:r w:rsidR="00266B59" w:rsidRPr="00266B59">
        <w:t xml:space="preserve"> </w:t>
      </w:r>
      <w:r w:rsidRPr="00266B59">
        <w:t>Инзенский район –</w:t>
      </w:r>
      <w:r w:rsidR="00266B59" w:rsidRPr="00266B59">
        <w:t>8</w:t>
      </w:r>
      <w:r w:rsidRPr="00266B59">
        <w:t xml:space="preserve"> заключений,</w:t>
      </w:r>
      <w:r w:rsidR="00266B59" w:rsidRPr="00266B59">
        <w:t xml:space="preserve"> </w:t>
      </w:r>
      <w:r w:rsidRPr="00266B59">
        <w:t xml:space="preserve">Майнский район – </w:t>
      </w:r>
      <w:r w:rsidR="00266B59" w:rsidRPr="00266B59">
        <w:t>7</w:t>
      </w:r>
      <w:r w:rsidRPr="00266B59">
        <w:t xml:space="preserve"> заключений</w:t>
      </w:r>
      <w:r w:rsidR="00266B59" w:rsidRPr="00266B59">
        <w:t xml:space="preserve">, </w:t>
      </w:r>
      <w:r w:rsidRPr="00266B59">
        <w:t>г</w:t>
      </w:r>
      <w:r w:rsidR="00266B59" w:rsidRPr="00266B59">
        <w:t>.Димитровград</w:t>
      </w:r>
      <w:r w:rsidRPr="00266B59">
        <w:t xml:space="preserve">  – </w:t>
      </w:r>
      <w:r w:rsidR="00266B59" w:rsidRPr="00266B59">
        <w:t>6</w:t>
      </w:r>
      <w:r w:rsidRPr="00266B59">
        <w:t xml:space="preserve"> заключени</w:t>
      </w:r>
      <w:r w:rsidR="00266B59" w:rsidRPr="00266B59">
        <w:t>й, по 5 заключений подготовлено Павловским, Радищевским, Старокулаткинским районами и г.Новоульяновск</w:t>
      </w:r>
      <w:r w:rsidRPr="00266B59">
        <w:t>.</w:t>
      </w:r>
    </w:p>
    <w:p w:rsidR="00266B59" w:rsidRPr="009B3C42" w:rsidRDefault="00266B59" w:rsidP="003F1A56">
      <w:pPr>
        <w:ind w:firstLine="709"/>
        <w:jc w:val="both"/>
      </w:pPr>
      <w:r w:rsidRPr="00266B59">
        <w:t xml:space="preserve">По одному заключению по экспертизе подготовлено муниципальными </w:t>
      </w:r>
      <w:r w:rsidRPr="009B3C42">
        <w:t xml:space="preserve">образованиями: г. Ульяновск, Мелекесский и Новомалыклинский районы. </w:t>
      </w:r>
    </w:p>
    <w:p w:rsidR="00237621" w:rsidRDefault="00237621" w:rsidP="003F1A56">
      <w:pPr>
        <w:ind w:firstLine="709"/>
        <w:jc w:val="both"/>
      </w:pPr>
      <w:r w:rsidRPr="009B3C42">
        <w:t xml:space="preserve">Во всех муниципальных образованиях </w:t>
      </w:r>
      <w:r>
        <w:t>э</w:t>
      </w:r>
      <w:r w:rsidR="003F1A56" w:rsidRPr="009B3C42">
        <w:t xml:space="preserve">кспертиза муниципальных НПА </w:t>
      </w:r>
      <w:r w:rsidR="003F1A56" w:rsidRPr="00327146">
        <w:rPr>
          <w:b/>
        </w:rPr>
        <w:t>осуществлялась в соответствии с утверждённым планом</w:t>
      </w:r>
      <w:r w:rsidR="00101C83" w:rsidRPr="00327146">
        <w:rPr>
          <w:b/>
        </w:rPr>
        <w:t>.</w:t>
      </w:r>
      <w:r w:rsidR="00101C83" w:rsidRPr="009B3C42">
        <w:t xml:space="preserve"> </w:t>
      </w:r>
    </w:p>
    <w:p w:rsidR="00D53820" w:rsidRPr="006E535E" w:rsidRDefault="003F1A56" w:rsidP="003F1A56">
      <w:pPr>
        <w:ind w:firstLine="709"/>
        <w:jc w:val="both"/>
        <w:rPr>
          <w:bCs/>
        </w:rPr>
      </w:pPr>
      <w:r w:rsidRPr="00D53820">
        <w:rPr>
          <w:bCs/>
        </w:rPr>
        <w:t xml:space="preserve">Кроме того, согласно утверждённой Методике оценивался показатель </w:t>
      </w:r>
      <w:r w:rsidR="00101C83" w:rsidRPr="00D53820">
        <w:rPr>
          <w:bCs/>
        </w:rPr>
        <w:t>«</w:t>
      </w:r>
      <w:r w:rsidRPr="00D53820">
        <w:rPr>
          <w:bCs/>
        </w:rPr>
        <w:t xml:space="preserve">Внесение изменений в 50 и более процентов  муниципальных НПА от общего количества муниципальных НПА, по которым была проведена экспертиза </w:t>
      </w:r>
      <w:r w:rsidRPr="00D53820">
        <w:rPr>
          <w:bCs/>
        </w:rPr>
        <w:br/>
        <w:t>(</w:t>
      </w:r>
      <w:r w:rsidRPr="006E535E">
        <w:rPr>
          <w:bCs/>
        </w:rPr>
        <w:t>в том числе за год, предшествующий отчётному календарному году)</w:t>
      </w:r>
      <w:r w:rsidR="00101C83" w:rsidRPr="006E535E">
        <w:rPr>
          <w:bCs/>
        </w:rPr>
        <w:t>»</w:t>
      </w:r>
      <w:r w:rsidRPr="006E535E">
        <w:rPr>
          <w:bCs/>
        </w:rPr>
        <w:t xml:space="preserve">. </w:t>
      </w:r>
    </w:p>
    <w:p w:rsidR="00C83B86" w:rsidRDefault="00394376" w:rsidP="00000950">
      <w:pPr>
        <w:spacing w:before="60"/>
        <w:ind w:firstLine="709"/>
        <w:jc w:val="both"/>
        <w:rPr>
          <w:bCs/>
        </w:rPr>
      </w:pPr>
      <w:r w:rsidRPr="006E535E">
        <w:rPr>
          <w:bCs/>
        </w:rPr>
        <w:t>В</w:t>
      </w:r>
      <w:r w:rsidR="00D53820" w:rsidRPr="006E535E">
        <w:rPr>
          <w:bCs/>
        </w:rPr>
        <w:t xml:space="preserve"> 2017 году </w:t>
      </w:r>
      <w:r w:rsidRPr="006E535E">
        <w:rPr>
          <w:bCs/>
        </w:rPr>
        <w:t xml:space="preserve">по результатам экспертизы муниципальных НПА </w:t>
      </w:r>
      <w:r w:rsidR="00D53820" w:rsidRPr="006E535E">
        <w:rPr>
          <w:bCs/>
        </w:rPr>
        <w:t xml:space="preserve">за 2016-2017 годы, </w:t>
      </w:r>
      <w:r w:rsidRPr="006E535E">
        <w:rPr>
          <w:bCs/>
        </w:rPr>
        <w:t xml:space="preserve">были внесены изменения </w:t>
      </w:r>
      <w:r w:rsidR="00D53820" w:rsidRPr="006E535E">
        <w:rPr>
          <w:bCs/>
        </w:rPr>
        <w:t xml:space="preserve">в </w:t>
      </w:r>
      <w:r w:rsidRPr="006E535E">
        <w:rPr>
          <w:bCs/>
        </w:rPr>
        <w:t xml:space="preserve">НПА </w:t>
      </w:r>
      <w:r w:rsidR="00630135">
        <w:rPr>
          <w:bCs/>
        </w:rPr>
        <w:t>7</w:t>
      </w:r>
      <w:r w:rsidR="00D53820" w:rsidRPr="006E535E">
        <w:rPr>
          <w:bCs/>
        </w:rPr>
        <w:t xml:space="preserve"> муниципальных образований: </w:t>
      </w:r>
      <w:r w:rsidR="009B3C42" w:rsidRPr="006E535E">
        <w:rPr>
          <w:bCs/>
        </w:rPr>
        <w:t xml:space="preserve">г. Димитровград </w:t>
      </w:r>
      <w:r w:rsidR="009B3C42" w:rsidRPr="006E535E">
        <w:rPr>
          <w:bCs/>
          <w:i/>
        </w:rPr>
        <w:t>(внесены изменения в 3</w:t>
      </w:r>
      <w:r w:rsidR="00237621" w:rsidRPr="006E535E">
        <w:rPr>
          <w:bCs/>
          <w:i/>
        </w:rPr>
        <w:t xml:space="preserve"> НПА из 6 прошедших экспертизу), </w:t>
      </w:r>
      <w:r w:rsidR="00237621" w:rsidRPr="006E535E">
        <w:rPr>
          <w:bCs/>
        </w:rPr>
        <w:t>Барышского района</w:t>
      </w:r>
      <w:r w:rsidR="00237621" w:rsidRPr="006E535E">
        <w:rPr>
          <w:bCs/>
          <w:i/>
        </w:rPr>
        <w:t xml:space="preserve"> (в 2 НПА изменения внесены, еще 3 проекта НПА  проходят согласование), </w:t>
      </w:r>
      <w:r w:rsidRPr="006E535E">
        <w:rPr>
          <w:bCs/>
        </w:rPr>
        <w:t xml:space="preserve">Старокулаткинского </w:t>
      </w:r>
      <w:r w:rsidRPr="00D53820">
        <w:rPr>
          <w:bCs/>
        </w:rPr>
        <w:t>района</w:t>
      </w:r>
      <w:r w:rsidRPr="00D53820">
        <w:rPr>
          <w:bCs/>
          <w:i/>
        </w:rPr>
        <w:t xml:space="preserve"> (внесены изменения в 5 НПА из 8), </w:t>
      </w:r>
      <w:r w:rsidRPr="00D53820">
        <w:rPr>
          <w:bCs/>
        </w:rPr>
        <w:t xml:space="preserve">по 1 НПА внесены изменения в </w:t>
      </w:r>
      <w:r w:rsidRPr="00000950">
        <w:rPr>
          <w:bCs/>
        </w:rPr>
        <w:t>Базарносызганском, Майнском, Новомалыклинском и Радищевском районах.</w:t>
      </w:r>
      <w:r w:rsidR="00C83B86">
        <w:rPr>
          <w:bCs/>
        </w:rPr>
        <w:t xml:space="preserve"> </w:t>
      </w:r>
    </w:p>
    <w:p w:rsidR="00C83B86" w:rsidRPr="00C83B86" w:rsidRDefault="00C83B86" w:rsidP="00A93035">
      <w:pPr>
        <w:ind w:firstLine="709"/>
        <w:jc w:val="both"/>
        <w:rPr>
          <w:bCs/>
          <w:i/>
        </w:rPr>
      </w:pPr>
      <w:r w:rsidRPr="00C83B86">
        <w:rPr>
          <w:bCs/>
          <w:i/>
        </w:rPr>
        <w:t xml:space="preserve">(Для сравнения: в 2016 году изменения </w:t>
      </w:r>
      <w:r>
        <w:rPr>
          <w:bCs/>
          <w:i/>
        </w:rPr>
        <w:t>по итогам экспертизы</w:t>
      </w:r>
      <w:r w:rsidRPr="00C83B86">
        <w:rPr>
          <w:bCs/>
          <w:i/>
        </w:rPr>
        <w:t xml:space="preserve"> были внесены в 8 муниципальных НПА в четырёх муниципальных образованиях)</w:t>
      </w:r>
    </w:p>
    <w:p w:rsidR="00000950" w:rsidRPr="00000950" w:rsidRDefault="00000950" w:rsidP="00A93035">
      <w:pPr>
        <w:spacing w:after="120"/>
        <w:ind w:firstLine="709"/>
        <w:jc w:val="both"/>
      </w:pPr>
      <w:r w:rsidRPr="00000950">
        <w:t xml:space="preserve">Необходимо отметить, что именно этот показатель оказал </w:t>
      </w:r>
      <w:r w:rsidRPr="00000950">
        <w:rPr>
          <w:b/>
        </w:rPr>
        <w:t xml:space="preserve">наиболее существенное влияние на итоговый балл </w:t>
      </w:r>
      <w:r w:rsidRPr="00000950">
        <w:t>муниципальн</w:t>
      </w:r>
      <w:r w:rsidR="00630135">
        <w:t>ых</w:t>
      </w:r>
      <w:r w:rsidRPr="00000950">
        <w:t xml:space="preserve"> образовани</w:t>
      </w:r>
      <w:r w:rsidR="00630135">
        <w:t>й</w:t>
      </w:r>
      <w:r w:rsidRPr="00000950">
        <w:t xml:space="preserve">, так как имеют </w:t>
      </w:r>
      <w:r w:rsidR="00327146">
        <w:t>высокий вес.</w:t>
      </w:r>
    </w:p>
    <w:p w:rsidR="002D0501" w:rsidRDefault="00A93035" w:rsidP="009778E3">
      <w:pPr>
        <w:ind w:firstLine="708"/>
        <w:jc w:val="both"/>
      </w:pPr>
      <w:r>
        <w:t xml:space="preserve">В целом </w:t>
      </w:r>
      <w:r w:rsidR="00ED6DC9" w:rsidRPr="002D0501">
        <w:t xml:space="preserve">необходимо отметить </w:t>
      </w:r>
      <w:r w:rsidR="008A60CC" w:rsidRPr="00A93035">
        <w:rPr>
          <w:b/>
        </w:rPr>
        <w:t xml:space="preserve">ряд муниципальных образований, где </w:t>
      </w:r>
      <w:r w:rsidR="002D0501" w:rsidRPr="00A93035">
        <w:rPr>
          <w:b/>
        </w:rPr>
        <w:t xml:space="preserve">заметно возрос </w:t>
      </w:r>
      <w:r w:rsidR="008A60CC" w:rsidRPr="00A93035">
        <w:rPr>
          <w:b/>
        </w:rPr>
        <w:t>уровень качества проведения процедур</w:t>
      </w:r>
      <w:r w:rsidR="008A60CC" w:rsidRPr="002D0501">
        <w:t xml:space="preserve">. Прежде всего, </w:t>
      </w:r>
      <w:r w:rsidR="00ED6DC9" w:rsidRPr="002D0501">
        <w:t xml:space="preserve">высокая степень активности отмечается </w:t>
      </w:r>
      <w:r w:rsidR="00ED6DC9" w:rsidRPr="002D0501">
        <w:rPr>
          <w:b/>
        </w:rPr>
        <w:t>в</w:t>
      </w:r>
      <w:r w:rsidR="008A60CC" w:rsidRPr="002D0501">
        <w:rPr>
          <w:b/>
        </w:rPr>
        <w:t xml:space="preserve"> город</w:t>
      </w:r>
      <w:r w:rsidR="00ED6DC9" w:rsidRPr="002D0501">
        <w:rPr>
          <w:b/>
        </w:rPr>
        <w:t>е</w:t>
      </w:r>
      <w:r w:rsidR="008A60CC" w:rsidRPr="002D0501">
        <w:rPr>
          <w:b/>
        </w:rPr>
        <w:t xml:space="preserve"> Димитровград</w:t>
      </w:r>
      <w:r w:rsidR="008A60CC" w:rsidRPr="002D0501">
        <w:t xml:space="preserve"> </w:t>
      </w:r>
      <w:r w:rsidR="00ED6DC9" w:rsidRPr="002D0501">
        <w:rPr>
          <w:i/>
        </w:rPr>
        <w:t>(</w:t>
      </w:r>
      <w:r w:rsidR="008A60CC" w:rsidRPr="002D0501">
        <w:rPr>
          <w:i/>
        </w:rPr>
        <w:t xml:space="preserve">подготовлено </w:t>
      </w:r>
      <w:r w:rsidR="00ED6DC9" w:rsidRPr="002D0501">
        <w:rPr>
          <w:i/>
        </w:rPr>
        <w:t xml:space="preserve"> </w:t>
      </w:r>
      <w:r w:rsidR="008A60CC" w:rsidRPr="002D0501">
        <w:rPr>
          <w:i/>
        </w:rPr>
        <w:t>1</w:t>
      </w:r>
      <w:r w:rsidR="00ED6DC9" w:rsidRPr="002D0501">
        <w:rPr>
          <w:i/>
        </w:rPr>
        <w:t>8</w:t>
      </w:r>
      <w:r w:rsidR="008A60CC" w:rsidRPr="002D0501">
        <w:rPr>
          <w:i/>
        </w:rPr>
        <w:t xml:space="preserve"> заключений по ОРВ</w:t>
      </w:r>
      <w:r w:rsidR="00CF4244" w:rsidRPr="002D0501">
        <w:rPr>
          <w:i/>
        </w:rPr>
        <w:t xml:space="preserve">, 6 по экспертизе, </w:t>
      </w:r>
      <w:r w:rsidR="008A60CC" w:rsidRPr="002D0501">
        <w:rPr>
          <w:i/>
        </w:rPr>
        <w:t>каждая из которых содержит замечания и предложения, направленные на совершенствование рассматриваемого правового регулирования</w:t>
      </w:r>
      <w:r w:rsidR="00CF4244" w:rsidRPr="002D0501">
        <w:rPr>
          <w:b/>
          <w:i/>
        </w:rPr>
        <w:t>)</w:t>
      </w:r>
      <w:r w:rsidR="00CF4244" w:rsidRPr="002D0501">
        <w:rPr>
          <w:b/>
        </w:rPr>
        <w:t>, Старокулаткинский район</w:t>
      </w:r>
      <w:r w:rsidR="00CF4244" w:rsidRPr="002D0501">
        <w:t xml:space="preserve"> </w:t>
      </w:r>
      <w:r w:rsidR="00827641">
        <w:br/>
      </w:r>
      <w:r w:rsidR="00CF4244" w:rsidRPr="002D0501">
        <w:rPr>
          <w:i/>
        </w:rPr>
        <w:lastRenderedPageBreak/>
        <w:t xml:space="preserve">(3 заключения по ОРВ, 5 по экспертизе, из которых 4 заключения отрицательных), </w:t>
      </w:r>
      <w:r w:rsidR="00ED6DC9" w:rsidRPr="002D0501">
        <w:rPr>
          <w:b/>
        </w:rPr>
        <w:t xml:space="preserve">Барышский район </w:t>
      </w:r>
      <w:r w:rsidR="00ED6DC9" w:rsidRPr="002D0501">
        <w:rPr>
          <w:i/>
        </w:rPr>
        <w:t>(</w:t>
      </w:r>
      <w:r w:rsidR="00CF4244" w:rsidRPr="002D0501">
        <w:rPr>
          <w:i/>
        </w:rPr>
        <w:t>3 заключения по ОРВ, 4 по экспертизе, из которых 3 заключения отрицательных)</w:t>
      </w:r>
      <w:r w:rsidR="00CF4244" w:rsidRPr="002D0501">
        <w:t xml:space="preserve">, </w:t>
      </w:r>
      <w:r w:rsidR="00CF4244" w:rsidRPr="002D0501">
        <w:rPr>
          <w:b/>
        </w:rPr>
        <w:t>Инзенский район</w:t>
      </w:r>
      <w:r w:rsidR="00CF4244" w:rsidRPr="002D0501">
        <w:t xml:space="preserve"> </w:t>
      </w:r>
      <w:r w:rsidR="00CF4244" w:rsidRPr="002D0501">
        <w:rPr>
          <w:i/>
        </w:rPr>
        <w:t>(3 заключения по ОРВ, 2 из которых – отрицательные, 8 заключений по экспертизе</w:t>
      </w:r>
      <w:r w:rsidR="00CF4244" w:rsidRPr="002D0501">
        <w:t xml:space="preserve"> </w:t>
      </w:r>
      <w:r w:rsidR="00CF4244" w:rsidRPr="002D0501">
        <w:rPr>
          <w:i/>
        </w:rPr>
        <w:t>муниципальных НПА)</w:t>
      </w:r>
      <w:r w:rsidR="008A60CC" w:rsidRPr="002D0501">
        <w:rPr>
          <w:i/>
        </w:rPr>
        <w:t>.</w:t>
      </w:r>
    </w:p>
    <w:p w:rsidR="002D0501" w:rsidRDefault="002D0501" w:rsidP="009778E3">
      <w:pPr>
        <w:ind w:firstLine="708"/>
        <w:jc w:val="both"/>
      </w:pPr>
      <w:r w:rsidRPr="00A312AE">
        <w:t>Также неплохие результаты по качеству отдельных подготовленных заключений по экспертизе показали  Майнский</w:t>
      </w:r>
      <w:r w:rsidR="00FD1B21" w:rsidRPr="00A312AE">
        <w:t xml:space="preserve"> и </w:t>
      </w:r>
      <w:r w:rsidRPr="00A312AE">
        <w:t>Радищевский районы.</w:t>
      </w:r>
    </w:p>
    <w:p w:rsidR="00CC5837" w:rsidRPr="00CC5837" w:rsidRDefault="00CC5837" w:rsidP="009778E3">
      <w:pPr>
        <w:ind w:firstLine="708"/>
        <w:jc w:val="both"/>
        <w:rPr>
          <w:b/>
        </w:rPr>
      </w:pPr>
      <w:r w:rsidRPr="00CC5837">
        <w:rPr>
          <w:b/>
        </w:rPr>
        <w:t xml:space="preserve">Снижение баллов по показателям при </w:t>
      </w:r>
      <w:r w:rsidRPr="00CC5837">
        <w:rPr>
          <w:bCs/>
        </w:rPr>
        <w:t>проведении процедуры ОРВ и экспертизы произошло по следующим причинам:</w:t>
      </w:r>
    </w:p>
    <w:p w:rsidR="0095670D" w:rsidRPr="00CC5837" w:rsidRDefault="00630135" w:rsidP="009778E3">
      <w:pPr>
        <w:pStyle w:val="a4"/>
        <w:numPr>
          <w:ilvl w:val="0"/>
          <w:numId w:val="8"/>
        </w:numPr>
        <w:spacing w:before="0" w:after="0"/>
        <w:ind w:left="0" w:firstLine="708"/>
        <w:rPr>
          <w:bCs/>
          <w:i/>
        </w:rPr>
      </w:pPr>
      <w:r>
        <w:rPr>
          <w:bCs/>
        </w:rPr>
        <w:t>н</w:t>
      </w:r>
      <w:r w:rsidR="00E56815">
        <w:rPr>
          <w:bCs/>
        </w:rPr>
        <w:t xml:space="preserve">есоответствие структуры </w:t>
      </w:r>
      <w:r w:rsidR="0095670D" w:rsidRPr="0095670D">
        <w:rPr>
          <w:bCs/>
        </w:rPr>
        <w:t>заключения</w:t>
      </w:r>
      <w:r w:rsidR="00E56815">
        <w:rPr>
          <w:bCs/>
        </w:rPr>
        <w:t xml:space="preserve"> принятым типовым формам заключений </w:t>
      </w:r>
      <w:r w:rsidR="00343438" w:rsidRPr="00CC5837">
        <w:rPr>
          <w:bCs/>
          <w:i/>
        </w:rPr>
        <w:t>(</w:t>
      </w:r>
      <w:r w:rsidR="00CC5837" w:rsidRPr="00CC5837">
        <w:rPr>
          <w:bCs/>
          <w:i/>
        </w:rPr>
        <w:t xml:space="preserve">Базарносызганский, </w:t>
      </w:r>
      <w:r w:rsidR="00343438" w:rsidRPr="00CC5837">
        <w:rPr>
          <w:bCs/>
          <w:i/>
        </w:rPr>
        <w:t xml:space="preserve">Вешкаймский, </w:t>
      </w:r>
      <w:r w:rsidR="00CC5837" w:rsidRPr="00CC5837">
        <w:rPr>
          <w:bCs/>
          <w:i/>
        </w:rPr>
        <w:t>Сенгилеевский</w:t>
      </w:r>
      <w:r w:rsidR="00343438" w:rsidRPr="00CC5837">
        <w:rPr>
          <w:bCs/>
          <w:i/>
        </w:rPr>
        <w:t>, Сурский</w:t>
      </w:r>
      <w:r w:rsidR="001E10E3">
        <w:rPr>
          <w:bCs/>
          <w:i/>
        </w:rPr>
        <w:t>, Ульяновский районы</w:t>
      </w:r>
      <w:r w:rsidR="00343438" w:rsidRPr="00CC5837">
        <w:rPr>
          <w:bCs/>
          <w:i/>
        </w:rPr>
        <w:t>)</w:t>
      </w:r>
      <w:r w:rsidR="009778E3">
        <w:rPr>
          <w:bCs/>
          <w:i/>
        </w:rPr>
        <w:t>;</w:t>
      </w:r>
    </w:p>
    <w:p w:rsidR="0095670D" w:rsidRDefault="00AB5E39" w:rsidP="009778E3">
      <w:pPr>
        <w:pStyle w:val="a4"/>
        <w:numPr>
          <w:ilvl w:val="0"/>
          <w:numId w:val="8"/>
        </w:numPr>
        <w:spacing w:before="0" w:after="0"/>
        <w:ind w:left="0" w:firstLine="708"/>
        <w:rPr>
          <w:bCs/>
        </w:rPr>
      </w:pPr>
      <w:r>
        <w:rPr>
          <w:bCs/>
        </w:rPr>
        <w:t>несоответствие количества отзывов, полученных в процессе публичного обсуждения, отзывам, указанным в заключении</w:t>
      </w:r>
      <w:r w:rsidR="009A0836">
        <w:rPr>
          <w:bCs/>
        </w:rPr>
        <w:t>, что подтверждает факт формального подхода к проведению публичных обсуждений</w:t>
      </w:r>
      <w:r w:rsidR="00CC5837">
        <w:rPr>
          <w:bCs/>
        </w:rPr>
        <w:t xml:space="preserve"> </w:t>
      </w:r>
      <w:r w:rsidR="00CC5837" w:rsidRPr="001E10E3">
        <w:rPr>
          <w:bCs/>
          <w:i/>
        </w:rPr>
        <w:t>(</w:t>
      </w:r>
      <w:r w:rsidR="001E10E3">
        <w:rPr>
          <w:bCs/>
          <w:i/>
        </w:rPr>
        <w:t>Карсунский</w:t>
      </w:r>
      <w:r w:rsidR="001847BE" w:rsidRPr="001E10E3">
        <w:rPr>
          <w:bCs/>
          <w:i/>
        </w:rPr>
        <w:t xml:space="preserve">, </w:t>
      </w:r>
      <w:r w:rsidR="00CC5837" w:rsidRPr="001E10E3">
        <w:rPr>
          <w:bCs/>
          <w:i/>
        </w:rPr>
        <w:t>Николаевский, Павловский, Старомайнский район</w:t>
      </w:r>
      <w:r w:rsidR="001E10E3">
        <w:rPr>
          <w:bCs/>
          <w:i/>
        </w:rPr>
        <w:t>ы)</w:t>
      </w:r>
      <w:r w:rsidR="009778E3">
        <w:rPr>
          <w:bCs/>
          <w:i/>
        </w:rPr>
        <w:t>;</w:t>
      </w:r>
    </w:p>
    <w:p w:rsidR="00A753EA" w:rsidRPr="001E10E3" w:rsidRDefault="00A753EA" w:rsidP="009778E3">
      <w:pPr>
        <w:pStyle w:val="a4"/>
        <w:numPr>
          <w:ilvl w:val="0"/>
          <w:numId w:val="8"/>
        </w:numPr>
        <w:spacing w:before="0" w:after="0"/>
        <w:ind w:left="0" w:firstLine="708"/>
        <w:rPr>
          <w:bCs/>
          <w:i/>
        </w:rPr>
      </w:pPr>
      <w:r>
        <w:rPr>
          <w:bCs/>
        </w:rPr>
        <w:t>отсутствие на сайте муниципального образования</w:t>
      </w:r>
      <w:r w:rsidR="00340D25">
        <w:rPr>
          <w:bCs/>
        </w:rPr>
        <w:t xml:space="preserve">, обязательных к размещению документов по </w:t>
      </w:r>
      <w:r>
        <w:rPr>
          <w:bCs/>
        </w:rPr>
        <w:t>ОРВ и экспертизе</w:t>
      </w:r>
      <w:r w:rsidR="00340D25">
        <w:rPr>
          <w:bCs/>
        </w:rPr>
        <w:t xml:space="preserve"> </w:t>
      </w:r>
      <w:r w:rsidRPr="001E10E3">
        <w:rPr>
          <w:bCs/>
          <w:i/>
        </w:rPr>
        <w:t xml:space="preserve">(Карсунский, </w:t>
      </w:r>
      <w:r w:rsidR="001E10E3">
        <w:rPr>
          <w:bCs/>
          <w:i/>
        </w:rPr>
        <w:t>Тереньгульский</w:t>
      </w:r>
      <w:r w:rsidR="009A0836" w:rsidRPr="001E10E3">
        <w:rPr>
          <w:bCs/>
          <w:i/>
        </w:rPr>
        <w:t xml:space="preserve">, </w:t>
      </w:r>
      <w:r w:rsidR="001E10E3">
        <w:rPr>
          <w:bCs/>
          <w:i/>
        </w:rPr>
        <w:t xml:space="preserve">Новомалыклинский, </w:t>
      </w:r>
      <w:r w:rsidR="001E10E3" w:rsidRPr="001E10E3">
        <w:rPr>
          <w:bCs/>
          <w:i/>
        </w:rPr>
        <w:t>Новоспасский район</w:t>
      </w:r>
      <w:r w:rsidR="001E10E3">
        <w:rPr>
          <w:bCs/>
          <w:i/>
        </w:rPr>
        <w:t>ы</w:t>
      </w:r>
      <w:r w:rsidR="0061568E">
        <w:rPr>
          <w:bCs/>
          <w:i/>
        </w:rPr>
        <w:t>, г. Новоульяновск</w:t>
      </w:r>
      <w:r w:rsidR="001E10E3">
        <w:rPr>
          <w:bCs/>
          <w:i/>
        </w:rPr>
        <w:t>).</w:t>
      </w:r>
    </w:p>
    <w:p w:rsidR="005B7A2B" w:rsidRPr="00630135" w:rsidRDefault="005B7A2B" w:rsidP="009778E3">
      <w:pPr>
        <w:ind w:firstLine="708"/>
        <w:jc w:val="both"/>
      </w:pPr>
      <w:r>
        <w:t xml:space="preserve">Кроме </w:t>
      </w:r>
      <w:r w:rsidRPr="00630135">
        <w:t>того</w:t>
      </w:r>
      <w:r w:rsidR="00630135">
        <w:t>,</w:t>
      </w:r>
      <w:r w:rsidRPr="00630135">
        <w:t xml:space="preserve"> </w:t>
      </w:r>
      <w:r w:rsidR="008E339F" w:rsidRPr="00630135">
        <w:rPr>
          <w:b/>
        </w:rPr>
        <w:t>при подведении итогов</w:t>
      </w:r>
      <w:r w:rsidR="008E339F">
        <w:t xml:space="preserve"> к</w:t>
      </w:r>
      <w:r w:rsidRPr="008E339F">
        <w:t>ачеств</w:t>
      </w:r>
      <w:r w:rsidR="008E339F">
        <w:t>а</w:t>
      </w:r>
      <w:r w:rsidRPr="008E339F">
        <w:t xml:space="preserve"> проведения процедуры ОРВ и экспертизы</w:t>
      </w:r>
      <w:r w:rsidR="00A312AE">
        <w:t xml:space="preserve"> </w:t>
      </w:r>
      <w:r w:rsidR="00A312AE" w:rsidRPr="00630135">
        <w:rPr>
          <w:b/>
        </w:rPr>
        <w:t>и формировании рейтинга</w:t>
      </w:r>
      <w:r w:rsidRPr="00630135">
        <w:rPr>
          <w:b/>
        </w:rPr>
        <w:t xml:space="preserve"> оценивал</w:t>
      </w:r>
      <w:r w:rsidR="00A312AE" w:rsidRPr="00630135">
        <w:rPr>
          <w:b/>
        </w:rPr>
        <w:t>и</w:t>
      </w:r>
      <w:r w:rsidRPr="00630135">
        <w:rPr>
          <w:b/>
        </w:rPr>
        <w:t xml:space="preserve">сь </w:t>
      </w:r>
      <w:r w:rsidR="00A312AE" w:rsidRPr="00630135">
        <w:rPr>
          <w:b/>
        </w:rPr>
        <w:t>следующие показатели</w:t>
      </w:r>
      <w:r w:rsidR="00A312AE" w:rsidRPr="00630135">
        <w:t>:</w:t>
      </w:r>
    </w:p>
    <w:p w:rsidR="00EE6D84" w:rsidRPr="00630135" w:rsidRDefault="00173AA8" w:rsidP="009778E3">
      <w:pPr>
        <w:ind w:firstLine="708"/>
        <w:jc w:val="both"/>
      </w:pPr>
      <w:r w:rsidRPr="00630135">
        <w:t>1)</w:t>
      </w:r>
      <w:r w:rsidR="00A312AE" w:rsidRPr="00630135">
        <w:t xml:space="preserve"> </w:t>
      </w:r>
      <w:r w:rsidR="005B7A2B" w:rsidRPr="00630135">
        <w:t>среднее количество отзывов, полученных в процессе публичного обсуждения проектов муниципальных НПА и муниципальных НПА</w:t>
      </w:r>
      <w:r w:rsidR="009778E3">
        <w:t>.</w:t>
      </w:r>
      <w:r w:rsidR="00A312AE" w:rsidRPr="00630135">
        <w:t xml:space="preserve"> </w:t>
      </w:r>
    </w:p>
    <w:p w:rsidR="00EE6D84" w:rsidRDefault="00A312AE" w:rsidP="009778E3">
      <w:pPr>
        <w:ind w:firstLine="709"/>
        <w:jc w:val="both"/>
      </w:pPr>
      <w:r w:rsidRPr="00A312AE">
        <w:t xml:space="preserve">По данному показателю </w:t>
      </w:r>
      <w:r>
        <w:t>высший балл получили муниципальные образования, имеющие в среднем 3 и более отзыв</w:t>
      </w:r>
      <w:r w:rsidR="00173AA8">
        <w:t>а</w:t>
      </w:r>
      <w:r>
        <w:t xml:space="preserve"> </w:t>
      </w:r>
      <w:r w:rsidR="00EE6D84" w:rsidRPr="00EE6D84">
        <w:t>на один нормативный правовой акт</w:t>
      </w:r>
      <w:r w:rsidR="00EE6D84">
        <w:t xml:space="preserve">: Барышский район, </w:t>
      </w:r>
      <w:r w:rsidR="00EE6D84" w:rsidRPr="00EE6D84">
        <w:t>Инзенский район, Кузоватовский, Майнский, Новоспасский, Радищевский, Старокулаткинский, Сурский и Цильнинский  районы.</w:t>
      </w:r>
      <w:r w:rsidR="00FD6BDE">
        <w:t xml:space="preserve"> </w:t>
      </w:r>
    </w:p>
    <w:p w:rsidR="005B7A2B" w:rsidRDefault="00FD6BDE" w:rsidP="009778E3">
      <w:pPr>
        <w:ind w:firstLine="709"/>
        <w:jc w:val="both"/>
      </w:pPr>
      <w:r w:rsidRPr="00FD6BDE">
        <w:t>Вместе с тем не приведены данные о количестве отзывов по заключениям Тереньгульского и Мелекесского районов.</w:t>
      </w:r>
      <w:r>
        <w:t xml:space="preserve"> </w:t>
      </w:r>
    </w:p>
    <w:p w:rsidR="001C13DF" w:rsidRPr="001C13DF" w:rsidRDefault="005B7A2B" w:rsidP="009778E3">
      <w:pPr>
        <w:ind w:firstLine="709"/>
        <w:jc w:val="both"/>
        <w:rPr>
          <w:bCs/>
        </w:rPr>
      </w:pPr>
      <w:r w:rsidRPr="00630135">
        <w:t xml:space="preserve">2) </w:t>
      </w:r>
      <w:r w:rsidRPr="00630135">
        <w:rPr>
          <w:bCs/>
        </w:rPr>
        <w:t xml:space="preserve">использование при подготовке заключений об ОРВ и экспертизе проектов муниципальных НПА и муниципальных НПА количественных методов оценки </w:t>
      </w:r>
      <w:r w:rsidR="001C13DF" w:rsidRPr="001C13DF">
        <w:rPr>
          <w:bCs/>
        </w:rPr>
        <w:t xml:space="preserve">в 2017 году </w:t>
      </w:r>
      <w:r w:rsidRPr="001C13DF">
        <w:rPr>
          <w:bCs/>
        </w:rPr>
        <w:t xml:space="preserve">отмечено в </w:t>
      </w:r>
      <w:r w:rsidR="001C13DF" w:rsidRPr="001C13DF">
        <w:rPr>
          <w:bCs/>
        </w:rPr>
        <w:t xml:space="preserve">14 муниципальных образованиях. В предыдущем году количественные методы оценки использовались при подготовке заключений </w:t>
      </w:r>
      <w:r w:rsidR="001C13DF">
        <w:rPr>
          <w:bCs/>
        </w:rPr>
        <w:t xml:space="preserve">только </w:t>
      </w:r>
      <w:r w:rsidR="001C13DF" w:rsidRPr="001C13DF">
        <w:rPr>
          <w:bCs/>
        </w:rPr>
        <w:t>в 6 муниципалитетах.</w:t>
      </w:r>
    </w:p>
    <w:p w:rsidR="001C13DF" w:rsidRPr="001C13DF" w:rsidRDefault="001C13DF" w:rsidP="009778E3">
      <w:pPr>
        <w:ind w:firstLine="709"/>
        <w:jc w:val="both"/>
        <w:rPr>
          <w:bCs/>
        </w:rPr>
      </w:pPr>
      <w:r w:rsidRPr="001C13DF">
        <w:rPr>
          <w:bCs/>
        </w:rPr>
        <w:t>В качестве положительного примера по данному показателю можно привести следующие муниципальные образования:</w:t>
      </w:r>
    </w:p>
    <w:p w:rsidR="001C13DF" w:rsidRPr="001C13DF" w:rsidRDefault="001C13DF" w:rsidP="009778E3">
      <w:pPr>
        <w:ind w:firstLine="709"/>
        <w:jc w:val="both"/>
        <w:rPr>
          <w:bCs/>
        </w:rPr>
      </w:pPr>
      <w:r w:rsidRPr="001C13DF">
        <w:rPr>
          <w:bCs/>
        </w:rPr>
        <w:t>– Инзенский район –72,7% от общего количества заключений;</w:t>
      </w:r>
    </w:p>
    <w:p w:rsidR="001C13DF" w:rsidRPr="001C13DF" w:rsidRDefault="001C13DF" w:rsidP="009778E3">
      <w:pPr>
        <w:ind w:firstLine="709"/>
        <w:jc w:val="both"/>
        <w:rPr>
          <w:bCs/>
        </w:rPr>
      </w:pPr>
      <w:r w:rsidRPr="001C13DF">
        <w:rPr>
          <w:bCs/>
        </w:rPr>
        <w:t>– Старокулаткинский район – 62,5 %;</w:t>
      </w:r>
    </w:p>
    <w:p w:rsidR="001C13DF" w:rsidRPr="009E0317" w:rsidRDefault="001C13DF" w:rsidP="009778E3">
      <w:pPr>
        <w:ind w:firstLine="709"/>
        <w:jc w:val="both"/>
        <w:rPr>
          <w:bCs/>
        </w:rPr>
      </w:pPr>
      <w:r w:rsidRPr="009E0317">
        <w:rPr>
          <w:bCs/>
        </w:rPr>
        <w:t>– Кузоватовский и Цильнинский районы – 33,3 %;</w:t>
      </w:r>
    </w:p>
    <w:p w:rsidR="001C13DF" w:rsidRPr="009E0317" w:rsidRDefault="001C13DF" w:rsidP="009778E3">
      <w:pPr>
        <w:ind w:firstLine="709"/>
        <w:jc w:val="both"/>
        <w:rPr>
          <w:bCs/>
        </w:rPr>
      </w:pPr>
      <w:r w:rsidRPr="009E0317">
        <w:rPr>
          <w:bCs/>
        </w:rPr>
        <w:t xml:space="preserve">– </w:t>
      </w:r>
      <w:r w:rsidR="009E0317" w:rsidRPr="009E0317">
        <w:rPr>
          <w:bCs/>
        </w:rPr>
        <w:t xml:space="preserve">Барышский и </w:t>
      </w:r>
      <w:r w:rsidRPr="009E0317">
        <w:rPr>
          <w:bCs/>
        </w:rPr>
        <w:t>Сурский район</w:t>
      </w:r>
      <w:r w:rsidR="009E0317" w:rsidRPr="009E0317">
        <w:rPr>
          <w:bCs/>
        </w:rPr>
        <w:t>ы</w:t>
      </w:r>
      <w:r w:rsidRPr="009E0317">
        <w:rPr>
          <w:bCs/>
        </w:rPr>
        <w:t xml:space="preserve"> – 28,5 %;</w:t>
      </w:r>
    </w:p>
    <w:p w:rsidR="001C13DF" w:rsidRPr="009E0317" w:rsidRDefault="001C13DF" w:rsidP="009778E3">
      <w:pPr>
        <w:ind w:firstLine="709"/>
        <w:jc w:val="both"/>
        <w:rPr>
          <w:bCs/>
        </w:rPr>
      </w:pPr>
      <w:r w:rsidRPr="009E0317">
        <w:rPr>
          <w:bCs/>
        </w:rPr>
        <w:t>– Карсунский район – 25%</w:t>
      </w:r>
    </w:p>
    <w:p w:rsidR="005B7A2B" w:rsidRPr="009E0317" w:rsidRDefault="009E0317" w:rsidP="009778E3">
      <w:pPr>
        <w:ind w:firstLine="709"/>
        <w:jc w:val="both"/>
        <w:rPr>
          <w:bCs/>
        </w:rPr>
      </w:pPr>
      <w:r w:rsidRPr="009E0317">
        <w:rPr>
          <w:bCs/>
        </w:rPr>
        <w:t xml:space="preserve">– </w:t>
      </w:r>
      <w:r w:rsidR="005B7A2B" w:rsidRPr="009E0317">
        <w:rPr>
          <w:bCs/>
        </w:rPr>
        <w:t xml:space="preserve">г. Димитровград – </w:t>
      </w:r>
      <w:r w:rsidRPr="009E0317">
        <w:rPr>
          <w:bCs/>
        </w:rPr>
        <w:t>12,5</w:t>
      </w:r>
      <w:r w:rsidR="005B7A2B" w:rsidRPr="009E0317">
        <w:rPr>
          <w:bCs/>
        </w:rPr>
        <w:t>%</w:t>
      </w:r>
      <w:r w:rsidRPr="009E0317">
        <w:rPr>
          <w:bCs/>
        </w:rPr>
        <w:t>.</w:t>
      </w:r>
    </w:p>
    <w:p w:rsidR="005B7A2B" w:rsidRPr="009E0317" w:rsidRDefault="009E0317" w:rsidP="009778E3">
      <w:pPr>
        <w:ind w:firstLine="709"/>
        <w:jc w:val="both"/>
        <w:rPr>
          <w:bCs/>
        </w:rPr>
      </w:pPr>
      <w:r w:rsidRPr="009E0317">
        <w:rPr>
          <w:bCs/>
        </w:rPr>
        <w:lastRenderedPageBreak/>
        <w:t>–</w:t>
      </w:r>
      <w:r w:rsidR="005B7A2B" w:rsidRPr="009E0317">
        <w:rPr>
          <w:bCs/>
        </w:rPr>
        <w:t xml:space="preserve"> г. Ульяновск – </w:t>
      </w:r>
      <w:r w:rsidRPr="009E0317">
        <w:rPr>
          <w:bCs/>
        </w:rPr>
        <w:t>1,9</w:t>
      </w:r>
      <w:r w:rsidR="005B7A2B" w:rsidRPr="009E0317">
        <w:rPr>
          <w:bCs/>
        </w:rPr>
        <w:t>% от общего количества проектов муниципальных НПА и муниципальных НПА, по которым были проведены ОРВ и экспертиза.</w:t>
      </w:r>
    </w:p>
    <w:p w:rsidR="005B7A2B" w:rsidRPr="001A761B" w:rsidRDefault="005B7A2B" w:rsidP="009778E3">
      <w:pPr>
        <w:ind w:firstLine="709"/>
        <w:jc w:val="both"/>
        <w:rPr>
          <w:bCs/>
        </w:rPr>
      </w:pPr>
      <w:r w:rsidRPr="001A761B">
        <w:rPr>
          <w:bCs/>
        </w:rPr>
        <w:t xml:space="preserve">3) </w:t>
      </w:r>
      <w:r w:rsidRPr="001A761B">
        <w:rPr>
          <w:bCs/>
          <w:u w:val="single"/>
        </w:rPr>
        <w:t>в рамках подготовки заключений об ОРВ и экспертизе предложены альтернативные варианты решения проблемы</w:t>
      </w:r>
      <w:r w:rsidRPr="001A761B">
        <w:rPr>
          <w:bCs/>
        </w:rPr>
        <w:t xml:space="preserve"> только в таких МО, как – </w:t>
      </w:r>
      <w:r w:rsidR="006F5D2A" w:rsidRPr="001A761B">
        <w:rPr>
          <w:bCs/>
        </w:rPr>
        <w:t>Инзенский район</w:t>
      </w:r>
      <w:r w:rsidR="001A761B" w:rsidRPr="001A761B">
        <w:rPr>
          <w:bCs/>
        </w:rPr>
        <w:t xml:space="preserve"> </w:t>
      </w:r>
      <w:r w:rsidR="001A761B" w:rsidRPr="001A761B">
        <w:rPr>
          <w:bCs/>
          <w:i/>
        </w:rPr>
        <w:t>(36,4% от общего количества проектов муниципальных НПА и муниципальных НПА, по которым были проведены ОРВ и экспертиза)</w:t>
      </w:r>
      <w:r w:rsidR="006F5D2A" w:rsidRPr="001A761B">
        <w:rPr>
          <w:bCs/>
        </w:rPr>
        <w:t xml:space="preserve">, </w:t>
      </w:r>
      <w:r w:rsidR="00F53934" w:rsidRPr="001A761B">
        <w:rPr>
          <w:bCs/>
        </w:rPr>
        <w:t xml:space="preserve">Базарносызганский </w:t>
      </w:r>
      <w:r w:rsidR="001A761B" w:rsidRPr="001A761B">
        <w:rPr>
          <w:bCs/>
        </w:rPr>
        <w:t xml:space="preserve">район </w:t>
      </w:r>
      <w:r w:rsidR="001A761B" w:rsidRPr="001A761B">
        <w:rPr>
          <w:bCs/>
          <w:i/>
        </w:rPr>
        <w:t>(16,7%)</w:t>
      </w:r>
      <w:r w:rsidR="001A761B" w:rsidRPr="001A761B">
        <w:rPr>
          <w:bCs/>
        </w:rPr>
        <w:t xml:space="preserve"> </w:t>
      </w:r>
      <w:r w:rsidR="00F53934" w:rsidRPr="001A761B">
        <w:rPr>
          <w:bCs/>
        </w:rPr>
        <w:t>и Сурский район</w:t>
      </w:r>
      <w:r w:rsidR="001A761B" w:rsidRPr="001A761B">
        <w:rPr>
          <w:bCs/>
        </w:rPr>
        <w:t xml:space="preserve"> </w:t>
      </w:r>
      <w:r w:rsidR="001A761B" w:rsidRPr="001A761B">
        <w:rPr>
          <w:bCs/>
          <w:i/>
        </w:rPr>
        <w:t>(14,3%)</w:t>
      </w:r>
      <w:r w:rsidR="00F53934" w:rsidRPr="001A761B">
        <w:rPr>
          <w:bCs/>
          <w:i/>
        </w:rPr>
        <w:t>.</w:t>
      </w:r>
    </w:p>
    <w:p w:rsidR="001A761B" w:rsidRDefault="005B7A2B" w:rsidP="009778E3">
      <w:pPr>
        <w:ind w:firstLine="709"/>
        <w:jc w:val="both"/>
        <w:rPr>
          <w:bCs/>
        </w:rPr>
      </w:pPr>
      <w:r w:rsidRPr="004702DD">
        <w:t xml:space="preserve">4) </w:t>
      </w:r>
      <w:r w:rsidR="001A761B" w:rsidRPr="004702DD">
        <w:t>Ни одним муниципальн</w:t>
      </w:r>
      <w:r w:rsidR="00D34989">
        <w:t>ы</w:t>
      </w:r>
      <w:r w:rsidR="001A761B" w:rsidRPr="004702DD">
        <w:t>м образованием Ульяновской области н</w:t>
      </w:r>
      <w:r w:rsidR="00D34989">
        <w:t xml:space="preserve">е </w:t>
      </w:r>
      <w:r w:rsidR="001A761B" w:rsidRPr="004702DD">
        <w:t xml:space="preserve">представлена информация по </w:t>
      </w:r>
      <w:r w:rsidRPr="004702DD">
        <w:rPr>
          <w:bCs/>
          <w:u w:val="single"/>
        </w:rPr>
        <w:t>сумм</w:t>
      </w:r>
      <w:r w:rsidR="001A761B" w:rsidRPr="004702DD">
        <w:rPr>
          <w:bCs/>
          <w:u w:val="single"/>
        </w:rPr>
        <w:t>е</w:t>
      </w:r>
      <w:r w:rsidRPr="004702DD">
        <w:rPr>
          <w:bCs/>
          <w:u w:val="single"/>
        </w:rPr>
        <w:t xml:space="preserve"> выявленных и предотвращённых необоснованных издержек субъектов предпринимательской деятельности</w:t>
      </w:r>
      <w:r w:rsidR="001A761B" w:rsidRPr="004702DD">
        <w:rPr>
          <w:bCs/>
        </w:rPr>
        <w:t>.</w:t>
      </w:r>
    </w:p>
    <w:p w:rsidR="00AB7A93" w:rsidRDefault="004702DD" w:rsidP="009778E3">
      <w:pPr>
        <w:ind w:firstLine="709"/>
        <w:jc w:val="both"/>
      </w:pPr>
      <w:r w:rsidRPr="006A36C5">
        <w:t>Кроме того</w:t>
      </w:r>
      <w:r w:rsidR="00827641">
        <w:t>,</w:t>
      </w:r>
      <w:r w:rsidRPr="006A36C5">
        <w:t xml:space="preserve"> на итоговую оценку при формировании рейтинга повлияла реализация </w:t>
      </w:r>
      <w:r w:rsidR="005B7A2B" w:rsidRPr="006A36C5">
        <w:t>комплекса основных (наиболее значимых) мероприятий, направленных на формирование на постоянной основе эффективного взаимодействия с бизнес-сообществом и информирование заинтересованных кругов и населения муниципального образования о процедуре ОРВ</w:t>
      </w:r>
      <w:r w:rsidRPr="006A36C5">
        <w:t xml:space="preserve">. </w:t>
      </w:r>
    </w:p>
    <w:p w:rsidR="00AB7A93" w:rsidRDefault="00AB7A93" w:rsidP="009778E3">
      <w:pPr>
        <w:ind w:firstLine="709"/>
        <w:jc w:val="both"/>
      </w:pPr>
      <w:r w:rsidRPr="001E15C4">
        <w:t>В</w:t>
      </w:r>
      <w:r w:rsidR="00CC53CB">
        <w:t>сего в</w:t>
      </w:r>
      <w:r w:rsidRPr="001E15C4">
        <w:t xml:space="preserve"> 2017 году </w:t>
      </w:r>
      <w:r w:rsidR="00CC53CB">
        <w:t xml:space="preserve">в </w:t>
      </w:r>
      <w:r w:rsidRPr="001E15C4">
        <w:t>муниципальных образовани</w:t>
      </w:r>
      <w:r w:rsidR="00CC53CB">
        <w:t>ях</w:t>
      </w:r>
      <w:r w:rsidRPr="001E15C4">
        <w:t xml:space="preserve"> Ульяновской области проведено </w:t>
      </w:r>
      <w:r w:rsidRPr="001E15C4">
        <w:rPr>
          <w:b/>
        </w:rPr>
        <w:t>более 150 мероприятий,</w:t>
      </w:r>
      <w:r w:rsidRPr="001E15C4">
        <w:t xml:space="preserve"> направленных на развитие процедуры оценки регулирующего воздействия, формирование эффективного взаимодействия с бизнес-сообществом и информирование заинтересованных кругов и населения</w:t>
      </w:r>
      <w:r w:rsidR="00CC53CB">
        <w:t xml:space="preserve"> </w:t>
      </w:r>
      <w:r w:rsidRPr="00CC53CB">
        <w:rPr>
          <w:i/>
        </w:rPr>
        <w:t>(регулярные заседания муниципальных Консультативных советов</w:t>
      </w:r>
      <w:r w:rsidR="00F324A0">
        <w:rPr>
          <w:i/>
        </w:rPr>
        <w:t xml:space="preserve"> и рабочих групп</w:t>
      </w:r>
      <w:r w:rsidRPr="00CC53CB">
        <w:rPr>
          <w:i/>
        </w:rPr>
        <w:t xml:space="preserve"> по ОРВ, Координационных советов по развитию малого и среднего предпринимательства, рабочие совещания,  обучающие семинары,  круглые столы, выездные встречи и консультации для начинающих субъектов бизнеса, «горячие  линии», личные приёмы граждан, в том числе в рамках проведения </w:t>
      </w:r>
      <w:r w:rsidRPr="00CC53CB">
        <w:rPr>
          <w:bCs/>
          <w:i/>
        </w:rPr>
        <w:t>Дня российского предпринимательства,</w:t>
      </w:r>
      <w:r w:rsidRPr="00CC53CB">
        <w:rPr>
          <w:i/>
        </w:rPr>
        <w:t xml:space="preserve"> недель предпринимательских инициатив, месячников налоговой помощи</w:t>
      </w:r>
      <w:r w:rsidRPr="00CC53CB">
        <w:rPr>
          <w:bCs/>
          <w:i/>
        </w:rPr>
        <w:t xml:space="preserve"> и финансовой грамотности опросы общественного мнения, </w:t>
      </w:r>
      <w:r w:rsidRPr="00CC53CB">
        <w:rPr>
          <w:i/>
        </w:rPr>
        <w:t>публикации в средствах массовой информации и пр.).</w:t>
      </w:r>
    </w:p>
    <w:p w:rsidR="005B7A2B" w:rsidRPr="006A36C5" w:rsidRDefault="004702DD" w:rsidP="009778E3">
      <w:pPr>
        <w:ind w:firstLine="709"/>
        <w:jc w:val="both"/>
      </w:pPr>
      <w:r w:rsidRPr="006A36C5">
        <w:t>Оценка</w:t>
      </w:r>
      <w:r w:rsidR="005B7A2B" w:rsidRPr="006A36C5">
        <w:t xml:space="preserve"> </w:t>
      </w:r>
      <w:r w:rsidR="00F324A0">
        <w:t xml:space="preserve">муниципальных образований </w:t>
      </w:r>
      <w:r w:rsidR="005B7A2B" w:rsidRPr="006A36C5">
        <w:t>осуществлялась на основе таких показателей, как:</w:t>
      </w:r>
    </w:p>
    <w:p w:rsidR="003713E6" w:rsidRPr="006A36C5" w:rsidRDefault="005B7A2B" w:rsidP="009778E3">
      <w:pPr>
        <w:ind w:firstLine="709"/>
        <w:jc w:val="both"/>
      </w:pPr>
      <w:r w:rsidRPr="006A36C5">
        <w:t xml:space="preserve">1) </w:t>
      </w:r>
      <w:r w:rsidRPr="006A36C5">
        <w:rPr>
          <w:u w:val="single"/>
        </w:rPr>
        <w:t>проведение заседаний коллегиального совещательного органа (рабочей группы) по ОРВ</w:t>
      </w:r>
      <w:r w:rsidRPr="006A36C5">
        <w:t xml:space="preserve"> – организовано во всех </w:t>
      </w:r>
      <w:r w:rsidR="004702DD" w:rsidRPr="006A36C5">
        <w:t xml:space="preserve">муниципальных образованиях, заседания проходят не реже 2-х раз в год. </w:t>
      </w:r>
      <w:r w:rsidR="00850031" w:rsidRPr="006A36C5">
        <w:t xml:space="preserve">В отдельных муниципальных образованиях в течение 2017 года состоялось 10 заседаний рабочей группы (Старокулаткинский район), по 7 заседаний (Павловский район), по 6 – Николаевский и Вешкаймский районы. </w:t>
      </w:r>
    </w:p>
    <w:p w:rsidR="005B7A2B" w:rsidRPr="006A36C5" w:rsidRDefault="006A36C5" w:rsidP="009778E3">
      <w:pPr>
        <w:ind w:firstLine="709"/>
        <w:jc w:val="both"/>
        <w:rPr>
          <w:i/>
        </w:rPr>
      </w:pPr>
      <w:r w:rsidRPr="006A36C5">
        <w:t xml:space="preserve">Не соблюдается установленная периодичность заседаний </w:t>
      </w:r>
      <w:r w:rsidR="00850031" w:rsidRPr="006A36C5">
        <w:t>в г. Ульяновск</w:t>
      </w:r>
      <w:r w:rsidRPr="006A36C5">
        <w:t xml:space="preserve">, </w:t>
      </w:r>
      <w:r w:rsidR="00850031" w:rsidRPr="006A36C5">
        <w:t xml:space="preserve"> в течение года состоялось всего 1 заседание </w:t>
      </w:r>
      <w:r w:rsidRPr="006A36C5">
        <w:t>рабочей группы</w:t>
      </w:r>
      <w:r>
        <w:t xml:space="preserve"> </w:t>
      </w:r>
      <w:r w:rsidRPr="006A36C5">
        <w:rPr>
          <w:i/>
        </w:rPr>
        <w:t xml:space="preserve">(согласно распоряжению Администрации Ульяновской области от 22.05.2015 № 238-р </w:t>
      </w:r>
      <w:r>
        <w:rPr>
          <w:i/>
        </w:rPr>
        <w:t xml:space="preserve">«О создании Рабочей группы администрации города Ульяновска по оценке регулирующего воздействия проектов нормативных правовых актов в муниципальном образовании «город Ульяновск» </w:t>
      </w:r>
      <w:r w:rsidRPr="006A36C5">
        <w:rPr>
          <w:i/>
        </w:rPr>
        <w:t>заседания должны проводиться не реже, чем 1 раз в три месяца).</w:t>
      </w:r>
      <w:r w:rsidR="005B7A2B" w:rsidRPr="006A36C5">
        <w:rPr>
          <w:i/>
        </w:rPr>
        <w:t xml:space="preserve"> </w:t>
      </w:r>
    </w:p>
    <w:p w:rsidR="00AB7A93" w:rsidRDefault="005B7A2B" w:rsidP="009778E3">
      <w:pPr>
        <w:ind w:firstLine="709"/>
        <w:jc w:val="both"/>
        <w:rPr>
          <w:bCs/>
          <w:i/>
        </w:rPr>
      </w:pPr>
      <w:r w:rsidRPr="00AB7A93">
        <w:lastRenderedPageBreak/>
        <w:t xml:space="preserve">2) </w:t>
      </w:r>
      <w:r w:rsidRPr="00AB7A93">
        <w:rPr>
          <w:u w:val="single"/>
        </w:rPr>
        <w:t xml:space="preserve">проведение </w:t>
      </w:r>
      <w:r w:rsidRPr="00AB7A93">
        <w:rPr>
          <w:bCs/>
          <w:u w:val="single"/>
        </w:rPr>
        <w:t>на территории МО мероприятий, посвящённых тематике ОРВ и экспертизы, организация информационной поддержки ОРВ и экспертизы в средствах массовой информации</w:t>
      </w:r>
      <w:r w:rsidRPr="00AB7A93">
        <w:rPr>
          <w:bCs/>
        </w:rPr>
        <w:t xml:space="preserve"> – наиболее высокая активность отмечена по </w:t>
      </w:r>
      <w:r w:rsidR="006A36C5" w:rsidRPr="00AB7A93">
        <w:rPr>
          <w:bCs/>
        </w:rPr>
        <w:t xml:space="preserve">Кузоватовскому району  </w:t>
      </w:r>
      <w:r w:rsidR="006A36C5" w:rsidRPr="00AB7A93">
        <w:rPr>
          <w:bCs/>
          <w:i/>
        </w:rPr>
        <w:t>(27 мероприятий)</w:t>
      </w:r>
      <w:r w:rsidR="00AB7A93" w:rsidRPr="00AB7A93">
        <w:rPr>
          <w:bCs/>
          <w:i/>
        </w:rPr>
        <w:t xml:space="preserve">, </w:t>
      </w:r>
      <w:r w:rsidR="00AB7A93" w:rsidRPr="00D34989">
        <w:rPr>
          <w:bCs/>
        </w:rPr>
        <w:t>Новоспасскому району</w:t>
      </w:r>
      <w:r w:rsidR="00AB7A93" w:rsidRPr="00AB7A93">
        <w:rPr>
          <w:bCs/>
          <w:i/>
        </w:rPr>
        <w:t xml:space="preserve">  (12 мероприятий), </w:t>
      </w:r>
      <w:r w:rsidR="00AB7A93" w:rsidRPr="00D34989">
        <w:rPr>
          <w:bCs/>
        </w:rPr>
        <w:t>Барышскому и Старокулаткинскому районам</w:t>
      </w:r>
      <w:r w:rsidR="00AB7A93" w:rsidRPr="00AB7A93">
        <w:rPr>
          <w:bCs/>
          <w:i/>
        </w:rPr>
        <w:t xml:space="preserve"> </w:t>
      </w:r>
      <w:r w:rsidR="00991F6A">
        <w:rPr>
          <w:bCs/>
          <w:i/>
        </w:rPr>
        <w:br/>
      </w:r>
      <w:r w:rsidR="00D34989">
        <w:rPr>
          <w:bCs/>
          <w:i/>
        </w:rPr>
        <w:t xml:space="preserve">(по </w:t>
      </w:r>
      <w:r w:rsidR="00AB7A93" w:rsidRPr="00AB7A93">
        <w:rPr>
          <w:bCs/>
          <w:i/>
        </w:rPr>
        <w:t>9 мероприятий).</w:t>
      </w:r>
      <w:r w:rsidR="00F324A0">
        <w:rPr>
          <w:bCs/>
          <w:i/>
        </w:rPr>
        <w:t xml:space="preserve"> </w:t>
      </w:r>
      <w:r w:rsidR="00F324A0" w:rsidRPr="00F324A0">
        <w:rPr>
          <w:bCs/>
        </w:rPr>
        <w:t>Наименьшую активность</w:t>
      </w:r>
      <w:r w:rsidR="00F324A0">
        <w:rPr>
          <w:bCs/>
        </w:rPr>
        <w:t xml:space="preserve"> </w:t>
      </w:r>
      <w:r w:rsidR="00F324A0" w:rsidRPr="00F324A0">
        <w:rPr>
          <w:bCs/>
        </w:rPr>
        <w:t xml:space="preserve">проявили </w:t>
      </w:r>
      <w:r w:rsidR="00F324A0">
        <w:rPr>
          <w:bCs/>
        </w:rPr>
        <w:t xml:space="preserve">Николаевский и Тереньгульский районы </w:t>
      </w:r>
      <w:r w:rsidR="00F324A0" w:rsidRPr="00991F6A">
        <w:rPr>
          <w:bCs/>
          <w:i/>
        </w:rPr>
        <w:t>(</w:t>
      </w:r>
      <w:r w:rsidR="00D34989">
        <w:rPr>
          <w:bCs/>
          <w:i/>
        </w:rPr>
        <w:t xml:space="preserve"> по </w:t>
      </w:r>
      <w:r w:rsidR="00F324A0" w:rsidRPr="00991F6A">
        <w:rPr>
          <w:bCs/>
          <w:i/>
        </w:rPr>
        <w:t>1 мероприяти</w:t>
      </w:r>
      <w:r w:rsidR="00D34989">
        <w:rPr>
          <w:bCs/>
          <w:i/>
        </w:rPr>
        <w:t>ю</w:t>
      </w:r>
      <w:r w:rsidR="00F324A0" w:rsidRPr="00991F6A">
        <w:rPr>
          <w:bCs/>
          <w:i/>
        </w:rPr>
        <w:t>)</w:t>
      </w:r>
      <w:r w:rsidR="00F324A0">
        <w:rPr>
          <w:bCs/>
        </w:rPr>
        <w:t xml:space="preserve">, </w:t>
      </w:r>
      <w:r w:rsidR="00991F6A">
        <w:rPr>
          <w:bCs/>
        </w:rPr>
        <w:t xml:space="preserve">г. Новоульяновск, Инзенский </w:t>
      </w:r>
      <w:r w:rsidR="00D34989">
        <w:rPr>
          <w:bCs/>
        </w:rPr>
        <w:br/>
        <w:t xml:space="preserve">и </w:t>
      </w:r>
      <w:r w:rsidR="00991F6A">
        <w:rPr>
          <w:bCs/>
        </w:rPr>
        <w:t xml:space="preserve">Новомалыклинский районы </w:t>
      </w:r>
      <w:r w:rsidR="00991F6A">
        <w:rPr>
          <w:bCs/>
          <w:i/>
        </w:rPr>
        <w:t>(</w:t>
      </w:r>
      <w:r w:rsidR="00D34989">
        <w:rPr>
          <w:bCs/>
          <w:i/>
        </w:rPr>
        <w:t xml:space="preserve">по </w:t>
      </w:r>
      <w:r w:rsidR="00991F6A">
        <w:rPr>
          <w:bCs/>
          <w:i/>
        </w:rPr>
        <w:t>2 мероприятия).</w:t>
      </w:r>
      <w:r w:rsidR="00F324A0" w:rsidRPr="00F324A0">
        <w:rPr>
          <w:bCs/>
          <w:i/>
        </w:rPr>
        <w:t xml:space="preserve"> </w:t>
      </w:r>
    </w:p>
    <w:p w:rsidR="00991F6A" w:rsidRDefault="00991F6A" w:rsidP="009778E3">
      <w:pPr>
        <w:ind w:firstLine="709"/>
        <w:jc w:val="both"/>
        <w:rPr>
          <w:bCs/>
          <w:u w:val="single"/>
        </w:rPr>
      </w:pPr>
      <w:r w:rsidRPr="00991F6A">
        <w:rPr>
          <w:bCs/>
        </w:rPr>
        <w:t xml:space="preserve">Кроме того, необходимо отметить, что в течение года </w:t>
      </w:r>
      <w:r w:rsidRPr="00991F6A">
        <w:rPr>
          <w:bCs/>
          <w:u w:val="single"/>
        </w:rPr>
        <w:t>специалисты органов местного самоуправления принимали достаточно активное участие в мероприятиях</w:t>
      </w:r>
      <w:r w:rsidR="00D34989">
        <w:rPr>
          <w:bCs/>
          <w:u w:val="single"/>
        </w:rPr>
        <w:t>,</w:t>
      </w:r>
      <w:r w:rsidRPr="00991F6A">
        <w:rPr>
          <w:bCs/>
          <w:u w:val="single"/>
        </w:rPr>
        <w:t xml:space="preserve"> организуемых Министерством развития конкуренции и экономики Ульяновской области, посвящённых вопросам проведения ОРВ и экспертизы, а также в публичных обсуждениях проектов региональных НПА.</w:t>
      </w:r>
    </w:p>
    <w:p w:rsidR="00FF780E" w:rsidRPr="00FF780E" w:rsidRDefault="00991F6A" w:rsidP="009778E3">
      <w:pPr>
        <w:ind w:firstLine="709"/>
        <w:jc w:val="both"/>
        <w:rPr>
          <w:bCs/>
        </w:rPr>
      </w:pPr>
      <w:r>
        <w:rPr>
          <w:bCs/>
        </w:rPr>
        <w:t xml:space="preserve">Наиболее </w:t>
      </w:r>
      <w:r w:rsidRPr="00FF780E">
        <w:rPr>
          <w:bCs/>
        </w:rPr>
        <w:t xml:space="preserve">активное </w:t>
      </w:r>
      <w:r w:rsidR="005B7A2B" w:rsidRPr="00FF780E">
        <w:rPr>
          <w:bCs/>
        </w:rPr>
        <w:t>участи</w:t>
      </w:r>
      <w:r w:rsidRPr="00FF780E">
        <w:rPr>
          <w:bCs/>
        </w:rPr>
        <w:t>е</w:t>
      </w:r>
      <w:r w:rsidR="005B7A2B" w:rsidRPr="00FF780E">
        <w:rPr>
          <w:bCs/>
        </w:rPr>
        <w:t xml:space="preserve"> в публичных обсуждениях </w:t>
      </w:r>
      <w:r w:rsidRPr="00FF780E">
        <w:rPr>
          <w:bCs/>
        </w:rPr>
        <w:t xml:space="preserve">отмечено в муниципальных образованиях: </w:t>
      </w:r>
      <w:r w:rsidR="00FF780E" w:rsidRPr="00FF780E">
        <w:rPr>
          <w:bCs/>
        </w:rPr>
        <w:t>г. Димитровграда, Базарносызганского, Барышского, Майнского и Старокулаткинского районов.</w:t>
      </w:r>
    </w:p>
    <w:p w:rsidR="008C0803" w:rsidRPr="008A7318" w:rsidRDefault="00697FDD" w:rsidP="009778E3">
      <w:pPr>
        <w:ind w:firstLine="709"/>
        <w:jc w:val="both"/>
      </w:pPr>
      <w:r w:rsidRPr="008A7318">
        <w:rPr>
          <w:bCs/>
        </w:rPr>
        <w:t xml:space="preserve">Анализ </w:t>
      </w:r>
      <w:r w:rsidRPr="008A7318">
        <w:t xml:space="preserve">итогов деятельности муниципальных образований по внедрению и развитию ОРВ проектов муниципальных НПА и экспертизы муниципальных НПА показал, что в 2017 году </w:t>
      </w:r>
      <w:r w:rsidR="00F45317" w:rsidRPr="008A7318">
        <w:t xml:space="preserve">в органах местного самоуправления </w:t>
      </w:r>
      <w:r w:rsidR="00F45317" w:rsidRPr="008A7318">
        <w:rPr>
          <w:b/>
        </w:rPr>
        <w:t>работа по организации практической деятельности по развитию и совершенствованию процедуры ОРВ и экспертизы</w:t>
      </w:r>
      <w:r w:rsidR="008C0803" w:rsidRPr="008A7318">
        <w:rPr>
          <w:b/>
        </w:rPr>
        <w:t xml:space="preserve"> налажена и ведётся на постоянной основе. </w:t>
      </w:r>
      <w:r w:rsidR="008C0803" w:rsidRPr="008A7318">
        <w:t xml:space="preserve">Поэтому </w:t>
      </w:r>
      <w:r w:rsidR="008C0803" w:rsidRPr="008A7318">
        <w:rPr>
          <w:u w:val="single"/>
        </w:rPr>
        <w:t xml:space="preserve">текущую задачу на данном этапе можно признать </w:t>
      </w:r>
      <w:r w:rsidR="008C0803" w:rsidRPr="008A7318">
        <w:rPr>
          <w:u w:val="single"/>
        </w:rPr>
        <w:br/>
        <w:t>в определённой мере выполненной</w:t>
      </w:r>
      <w:r w:rsidR="008C0803" w:rsidRPr="008A7318">
        <w:t>.</w:t>
      </w:r>
    </w:p>
    <w:p w:rsidR="008C0803" w:rsidRPr="008A7318" w:rsidRDefault="008C0803" w:rsidP="009778E3">
      <w:pPr>
        <w:ind w:firstLine="709"/>
        <w:jc w:val="both"/>
      </w:pPr>
      <w:r w:rsidRPr="008A7318">
        <w:t xml:space="preserve">Однако необходимо отметить, что в отдельных муниципальных образованиях региона </w:t>
      </w:r>
      <w:r w:rsidRPr="008A7318">
        <w:rPr>
          <w:b/>
        </w:rPr>
        <w:t>мало заключений высокого качества подготовки</w:t>
      </w:r>
      <w:r w:rsidRPr="008A7318">
        <w:t xml:space="preserve">, в которых содержится оценка регулятивных решений, имеющих высокую степень воздействия на предпринимательскую среду, с обширными публичными обсуждениями в бизнес-структурах, привлечением экспертного сообщества, грамотным использованием </w:t>
      </w:r>
      <w:r w:rsidRPr="008A7318">
        <w:rPr>
          <w:bCs/>
        </w:rPr>
        <w:t xml:space="preserve">количественных методов оценки, </w:t>
      </w:r>
      <w:r w:rsidRPr="008A7318">
        <w:t>глубоким анализом статистических данных и опыта иных административных центров субъектов Российской Федерации, детальной проработкой альтернативных вариантов регулирования</w:t>
      </w:r>
      <w:r w:rsidR="00C50701" w:rsidRPr="008A7318">
        <w:t xml:space="preserve">. Практически отсутствуют заключения, содержащие </w:t>
      </w:r>
      <w:r w:rsidRPr="008A7318">
        <w:t>расчёт</w:t>
      </w:r>
      <w:r w:rsidR="00C50701" w:rsidRPr="008A7318">
        <w:t>ы</w:t>
      </w:r>
      <w:r w:rsidRPr="008A7318">
        <w:t xml:space="preserve"> </w:t>
      </w:r>
      <w:r w:rsidRPr="008A7318">
        <w:rPr>
          <w:bCs/>
        </w:rPr>
        <w:t>суммы выявленных и предотвращённых необоснованных издержек субъектов предпринимательской деятельности</w:t>
      </w:r>
      <w:r w:rsidRPr="008A7318">
        <w:t>.</w:t>
      </w:r>
      <w:r w:rsidR="003E583F" w:rsidRPr="008A7318">
        <w:t xml:space="preserve"> </w:t>
      </w:r>
    </w:p>
    <w:p w:rsidR="002D59C9" w:rsidRPr="008A7318" w:rsidRDefault="002D59C9" w:rsidP="009778E3">
      <w:pPr>
        <w:ind w:firstLine="709"/>
        <w:jc w:val="both"/>
      </w:pPr>
      <w:r w:rsidRPr="008A7318">
        <w:t xml:space="preserve">Учитывая, что одной из особенностей процедуры ОРВ является повышение качества и открытости процесса нормотворчества посредством проведения публичных обсуждений проектов нормативных правовых актов, можно говорить, что в районах с низкой степенью развития института оценки регулирующего воздействия, механизм принятия регуляторных решений выстроен не эффективно, а сам процесс принятия управленческих решений, которые затрагивают интересы предпринимателей и инвесторов, является закрытым и неэффективным, т.к. не учитывает мнение предпринимательского сообщества. Всё это говорит об отсутствии в </w:t>
      </w:r>
      <w:r w:rsidR="001367C3" w:rsidRPr="008A7318">
        <w:t xml:space="preserve">данном муниципальном </w:t>
      </w:r>
      <w:r w:rsidR="001367C3" w:rsidRPr="008A7318">
        <w:lastRenderedPageBreak/>
        <w:t xml:space="preserve">образовании </w:t>
      </w:r>
      <w:r w:rsidRPr="008A7318">
        <w:t>«контакта» между администрацией и предпринимательским сообществом.</w:t>
      </w:r>
    </w:p>
    <w:p w:rsidR="00113F8E" w:rsidRPr="008A7318" w:rsidRDefault="00113F8E" w:rsidP="009778E3">
      <w:pPr>
        <w:ind w:firstLine="709"/>
        <w:jc w:val="both"/>
      </w:pPr>
      <w:r w:rsidRPr="008A7318">
        <w:t>Как следствие повышается риск принятия нормативных правовых актов, которые ухудшают условия ведения предпринимательской и инвестиционной деятельности, что в свою очередь напрямую сказывается на инвестиционной привлекательности района.</w:t>
      </w:r>
    </w:p>
    <w:p w:rsidR="00113F8E" w:rsidRPr="008A7318" w:rsidRDefault="00113F8E" w:rsidP="009778E3">
      <w:pPr>
        <w:ind w:firstLine="720"/>
        <w:jc w:val="both"/>
      </w:pPr>
      <w:r w:rsidRPr="008A7318">
        <w:t xml:space="preserve">В целях повышения качества проведения данной процедуры на уровне муниципальных образований и совершенствования процедуры нормотворчества </w:t>
      </w:r>
      <w:r w:rsidR="001367C3" w:rsidRPr="008A7318">
        <w:t xml:space="preserve">региональным </w:t>
      </w:r>
      <w:r w:rsidRPr="008A7318">
        <w:t>Министерством развития конкуренции и экономики планируется реализовать комплекс мероприятий, направленных на повышение соответствующих компетенций сотрудников органов местного самоуправления. В настоящее время в качестве первого этапа Министерством развития конкуренции и экономики Ульяновской области разработана</w:t>
      </w:r>
      <w:r w:rsidRPr="008A7318">
        <w:rPr>
          <w:i/>
        </w:rPr>
        <w:t xml:space="preserve"> </w:t>
      </w:r>
      <w:r w:rsidRPr="008A7318">
        <w:t>обучающая программа по направлению «Оценка регулирующего воздействия» для повышения квалификации указанных категорий сотрудников. Данная программа будет способствовать внедрению принципов, так называемого, «умного регулирования», что в конечном итоге позволит повысить эффективность принимаемых управленческих решений, как на муниципальном, так и на региональном уровнях.</w:t>
      </w:r>
    </w:p>
    <w:p w:rsidR="00113F8E" w:rsidRPr="008A7318" w:rsidRDefault="00113F8E" w:rsidP="009778E3">
      <w:pPr>
        <w:ind w:firstLine="709"/>
        <w:jc w:val="both"/>
      </w:pPr>
      <w:r w:rsidRPr="008A7318">
        <w:t>Обучение будет проходить на базе АНО развития кадрового потенциала «Корпоративный университет Ульяновской области» начиная с</w:t>
      </w:r>
      <w:r w:rsidR="00DB3108">
        <w:t xml:space="preserve"> </w:t>
      </w:r>
      <w:r w:rsidR="00DB3108" w:rsidRPr="00DB3108">
        <w:rPr>
          <w:b/>
        </w:rPr>
        <w:t>17</w:t>
      </w:r>
      <w:r w:rsidRPr="00DB3108">
        <w:rPr>
          <w:b/>
        </w:rPr>
        <w:t xml:space="preserve"> а</w:t>
      </w:r>
      <w:r w:rsidRPr="008A7318">
        <w:rPr>
          <w:b/>
        </w:rPr>
        <w:t>преля 2018 года</w:t>
      </w:r>
      <w:r w:rsidRPr="008A7318">
        <w:t xml:space="preserve">. </w:t>
      </w:r>
    </w:p>
    <w:p w:rsidR="003E583F" w:rsidRDefault="003E583F" w:rsidP="008C0803">
      <w:pPr>
        <w:ind w:firstLine="709"/>
        <w:jc w:val="both"/>
      </w:pPr>
    </w:p>
    <w:p w:rsidR="00785080" w:rsidRDefault="00785080" w:rsidP="00827641">
      <w:pPr>
        <w:ind w:firstLine="709"/>
        <w:jc w:val="both"/>
        <w:rPr>
          <w:b/>
        </w:rPr>
        <w:sectPr w:rsidR="00785080" w:rsidSect="003138F7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46BC1" w:rsidRDefault="00D35A52" w:rsidP="00D35A52">
      <w:pPr>
        <w:autoSpaceDE w:val="0"/>
        <w:autoSpaceDN w:val="0"/>
        <w:adjustRightInd w:val="0"/>
        <w:spacing w:before="120"/>
        <w:jc w:val="center"/>
      </w:pPr>
      <w:r w:rsidRPr="00785080">
        <w:rPr>
          <w:b/>
        </w:rPr>
        <w:lastRenderedPageBreak/>
        <w:t>Д</w:t>
      </w:r>
      <w:r w:rsidR="00346BC1" w:rsidRPr="00785080">
        <w:rPr>
          <w:b/>
        </w:rPr>
        <w:t>инамик</w:t>
      </w:r>
      <w:r w:rsidRPr="00785080">
        <w:rPr>
          <w:b/>
        </w:rPr>
        <w:t>а показателей</w:t>
      </w:r>
      <w:r w:rsidR="00346BC1" w:rsidRPr="00785080">
        <w:rPr>
          <w:b/>
        </w:rPr>
        <w:t xml:space="preserve"> </w:t>
      </w:r>
      <w:r w:rsidRPr="00785080">
        <w:rPr>
          <w:b/>
        </w:rPr>
        <w:t xml:space="preserve">итоговой </w:t>
      </w:r>
      <w:r w:rsidR="00475E08" w:rsidRPr="00785080">
        <w:rPr>
          <w:b/>
        </w:rPr>
        <w:t>оценки</w:t>
      </w:r>
      <w:r w:rsidR="00346BC1" w:rsidRPr="00785080">
        <w:rPr>
          <w:b/>
        </w:rPr>
        <w:t xml:space="preserve"> </w:t>
      </w:r>
      <w:r w:rsidRPr="00785080">
        <w:rPr>
          <w:b/>
        </w:rPr>
        <w:t xml:space="preserve">рейтинга </w:t>
      </w:r>
      <w:r w:rsidR="007760B7" w:rsidRPr="00785080">
        <w:rPr>
          <w:b/>
        </w:rPr>
        <w:br/>
        <w:t xml:space="preserve">муниципальных образований </w:t>
      </w:r>
      <w:r w:rsidR="00DA1B5B">
        <w:rPr>
          <w:b/>
        </w:rPr>
        <w:t>за 2015-2017 годы</w:t>
      </w:r>
      <w:r w:rsidRPr="00785080">
        <w:t xml:space="preserve"> </w:t>
      </w:r>
    </w:p>
    <w:p w:rsidR="007C6CA5" w:rsidRPr="00785080" w:rsidRDefault="007C6CA5" w:rsidP="00D35A52">
      <w:pPr>
        <w:autoSpaceDE w:val="0"/>
        <w:autoSpaceDN w:val="0"/>
        <w:adjustRightInd w:val="0"/>
        <w:spacing w:before="120"/>
        <w:jc w:val="center"/>
      </w:pPr>
    </w:p>
    <w:p w:rsidR="007760B7" w:rsidRDefault="007760B7" w:rsidP="00A835F4">
      <w:pPr>
        <w:autoSpaceDE w:val="0"/>
        <w:autoSpaceDN w:val="0"/>
        <w:adjustRightInd w:val="0"/>
        <w:spacing w:before="120"/>
        <w:ind w:left="-567" w:right="-1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1A4BCC1E" wp14:editId="68E24FF2">
            <wp:extent cx="9648825" cy="4048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60B7" w:rsidRDefault="007760B7" w:rsidP="00D35A52">
      <w:pPr>
        <w:autoSpaceDE w:val="0"/>
        <w:autoSpaceDN w:val="0"/>
        <w:adjustRightInd w:val="0"/>
        <w:spacing w:before="120"/>
        <w:jc w:val="center"/>
        <w:rPr>
          <w:highlight w:val="yellow"/>
        </w:rPr>
      </w:pPr>
    </w:p>
    <w:p w:rsidR="007760B7" w:rsidRDefault="007760B7" w:rsidP="00D35A52">
      <w:pPr>
        <w:autoSpaceDE w:val="0"/>
        <w:autoSpaceDN w:val="0"/>
        <w:adjustRightInd w:val="0"/>
        <w:spacing w:before="120"/>
        <w:jc w:val="center"/>
        <w:rPr>
          <w:highlight w:val="yellow"/>
        </w:rPr>
      </w:pPr>
    </w:p>
    <w:p w:rsidR="00E721F4" w:rsidRDefault="00E721F4" w:rsidP="00D34989">
      <w:pPr>
        <w:autoSpaceDE w:val="0"/>
        <w:autoSpaceDN w:val="0"/>
        <w:adjustRightInd w:val="0"/>
        <w:spacing w:before="120"/>
        <w:rPr>
          <w:highlight w:val="yellow"/>
        </w:rPr>
        <w:sectPr w:rsidR="00E721F4" w:rsidSect="00177412">
          <w:pgSz w:w="16838" w:h="11906" w:orient="landscape"/>
          <w:pgMar w:top="1701" w:right="678" w:bottom="567" w:left="1134" w:header="709" w:footer="709" w:gutter="0"/>
          <w:cols w:space="708"/>
          <w:titlePg/>
          <w:docGrid w:linePitch="381"/>
        </w:sectPr>
      </w:pPr>
    </w:p>
    <w:p w:rsidR="007C6CA5" w:rsidRDefault="007C6CA5" w:rsidP="00D34989">
      <w:pPr>
        <w:autoSpaceDE w:val="0"/>
        <w:autoSpaceDN w:val="0"/>
        <w:adjustRightInd w:val="0"/>
        <w:spacing w:before="120"/>
        <w:rPr>
          <w:highlight w:val="yellow"/>
        </w:rPr>
      </w:pPr>
    </w:p>
    <w:sectPr w:rsidR="007C6CA5" w:rsidSect="00E721F4">
      <w:pgSz w:w="11906" w:h="16838"/>
      <w:pgMar w:top="67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EC" w:rsidRDefault="00451FEC" w:rsidP="00A8312F">
      <w:r>
        <w:separator/>
      </w:r>
    </w:p>
  </w:endnote>
  <w:endnote w:type="continuationSeparator" w:id="0">
    <w:p w:rsidR="00451FEC" w:rsidRDefault="00451FEC" w:rsidP="00A8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EC" w:rsidRDefault="00451FEC" w:rsidP="00A8312F">
      <w:r>
        <w:separator/>
      </w:r>
    </w:p>
  </w:footnote>
  <w:footnote w:type="continuationSeparator" w:id="0">
    <w:p w:rsidR="00451FEC" w:rsidRDefault="00451FEC" w:rsidP="00A8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849829"/>
      <w:docPartObj>
        <w:docPartGallery w:val="Page Numbers (Top of Page)"/>
        <w:docPartUnique/>
      </w:docPartObj>
    </w:sdtPr>
    <w:sdtEndPr/>
    <w:sdtContent>
      <w:p w:rsidR="009A2AC0" w:rsidRDefault="009A2A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6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AC0" w:rsidRDefault="009A2A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9F7"/>
    <w:multiLevelType w:val="hybridMultilevel"/>
    <w:tmpl w:val="BBDC7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42B7D"/>
    <w:multiLevelType w:val="hybridMultilevel"/>
    <w:tmpl w:val="F7F0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F1AA7"/>
    <w:multiLevelType w:val="hybridMultilevel"/>
    <w:tmpl w:val="5666205A"/>
    <w:lvl w:ilvl="0" w:tplc="508C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D1DED"/>
    <w:multiLevelType w:val="hybridMultilevel"/>
    <w:tmpl w:val="1CE4A790"/>
    <w:lvl w:ilvl="0" w:tplc="BF9A221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C62899"/>
    <w:multiLevelType w:val="hybridMultilevel"/>
    <w:tmpl w:val="87401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D1955"/>
    <w:multiLevelType w:val="hybridMultilevel"/>
    <w:tmpl w:val="F7F0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026E7"/>
    <w:multiLevelType w:val="hybridMultilevel"/>
    <w:tmpl w:val="8182FC2E"/>
    <w:lvl w:ilvl="0" w:tplc="DFD81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5311D4"/>
    <w:multiLevelType w:val="hybridMultilevel"/>
    <w:tmpl w:val="FECCA094"/>
    <w:lvl w:ilvl="0" w:tplc="5762DE40">
      <w:start w:val="1"/>
      <w:numFmt w:val="decimal"/>
      <w:lvlText w:val="%1)"/>
      <w:lvlJc w:val="left"/>
      <w:pPr>
        <w:ind w:left="1819" w:hanging="11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2"/>
    <w:rsid w:val="00000950"/>
    <w:rsid w:val="000011FD"/>
    <w:rsid w:val="0000205A"/>
    <w:rsid w:val="00014737"/>
    <w:rsid w:val="00015C6B"/>
    <w:rsid w:val="000161F3"/>
    <w:rsid w:val="00017EB5"/>
    <w:rsid w:val="00020D62"/>
    <w:rsid w:val="00021792"/>
    <w:rsid w:val="00027D59"/>
    <w:rsid w:val="000360FF"/>
    <w:rsid w:val="00037E88"/>
    <w:rsid w:val="0004698E"/>
    <w:rsid w:val="000475A6"/>
    <w:rsid w:val="00053B6E"/>
    <w:rsid w:val="00056CF6"/>
    <w:rsid w:val="00065FED"/>
    <w:rsid w:val="000664D9"/>
    <w:rsid w:val="000706FB"/>
    <w:rsid w:val="000708A1"/>
    <w:rsid w:val="000848B5"/>
    <w:rsid w:val="000953C2"/>
    <w:rsid w:val="000A07E6"/>
    <w:rsid w:val="000A5233"/>
    <w:rsid w:val="000B1437"/>
    <w:rsid w:val="000B5594"/>
    <w:rsid w:val="000B60EA"/>
    <w:rsid w:val="000C3B3D"/>
    <w:rsid w:val="000D168E"/>
    <w:rsid w:val="000D17C6"/>
    <w:rsid w:val="000D4B4A"/>
    <w:rsid w:val="000E0F9D"/>
    <w:rsid w:val="00101C83"/>
    <w:rsid w:val="00112654"/>
    <w:rsid w:val="00113091"/>
    <w:rsid w:val="00113F8E"/>
    <w:rsid w:val="001210B4"/>
    <w:rsid w:val="00123025"/>
    <w:rsid w:val="00132A99"/>
    <w:rsid w:val="001349FA"/>
    <w:rsid w:val="001367C3"/>
    <w:rsid w:val="00144670"/>
    <w:rsid w:val="00144A20"/>
    <w:rsid w:val="00153096"/>
    <w:rsid w:val="00160376"/>
    <w:rsid w:val="00160512"/>
    <w:rsid w:val="00170D58"/>
    <w:rsid w:val="0017101C"/>
    <w:rsid w:val="00173AA8"/>
    <w:rsid w:val="00177412"/>
    <w:rsid w:val="00181A37"/>
    <w:rsid w:val="00182A9B"/>
    <w:rsid w:val="001845D8"/>
    <w:rsid w:val="001847BE"/>
    <w:rsid w:val="0018643B"/>
    <w:rsid w:val="001916B0"/>
    <w:rsid w:val="001A1EBD"/>
    <w:rsid w:val="001A761B"/>
    <w:rsid w:val="001C13DF"/>
    <w:rsid w:val="001C243B"/>
    <w:rsid w:val="001D0812"/>
    <w:rsid w:val="001D0B9B"/>
    <w:rsid w:val="001D3F78"/>
    <w:rsid w:val="001D6A9B"/>
    <w:rsid w:val="001D7368"/>
    <w:rsid w:val="001E10E3"/>
    <w:rsid w:val="001E15C4"/>
    <w:rsid w:val="001E1A3F"/>
    <w:rsid w:val="001E2BD2"/>
    <w:rsid w:val="001E5CDE"/>
    <w:rsid w:val="001E7FB8"/>
    <w:rsid w:val="001F7943"/>
    <w:rsid w:val="00201A3A"/>
    <w:rsid w:val="002046E5"/>
    <w:rsid w:val="00217BA5"/>
    <w:rsid w:val="00222EB3"/>
    <w:rsid w:val="002238A4"/>
    <w:rsid w:val="0022608A"/>
    <w:rsid w:val="002269F4"/>
    <w:rsid w:val="0022724A"/>
    <w:rsid w:val="00230BF8"/>
    <w:rsid w:val="0023212A"/>
    <w:rsid w:val="00233943"/>
    <w:rsid w:val="00237621"/>
    <w:rsid w:val="00240EEF"/>
    <w:rsid w:val="0024401B"/>
    <w:rsid w:val="002464D1"/>
    <w:rsid w:val="00266B59"/>
    <w:rsid w:val="00272F51"/>
    <w:rsid w:val="00293CDD"/>
    <w:rsid w:val="00295D3F"/>
    <w:rsid w:val="00295F42"/>
    <w:rsid w:val="002A3E0C"/>
    <w:rsid w:val="002A6852"/>
    <w:rsid w:val="002A715C"/>
    <w:rsid w:val="002A72B4"/>
    <w:rsid w:val="002C5C15"/>
    <w:rsid w:val="002D0501"/>
    <w:rsid w:val="002D3C81"/>
    <w:rsid w:val="002D59C9"/>
    <w:rsid w:val="002D7E1D"/>
    <w:rsid w:val="002E19CC"/>
    <w:rsid w:val="002E60B8"/>
    <w:rsid w:val="00306B22"/>
    <w:rsid w:val="00310469"/>
    <w:rsid w:val="003138F7"/>
    <w:rsid w:val="0031489B"/>
    <w:rsid w:val="0032096D"/>
    <w:rsid w:val="003231D1"/>
    <w:rsid w:val="00326B8D"/>
    <w:rsid w:val="00327146"/>
    <w:rsid w:val="0034014C"/>
    <w:rsid w:val="00340D25"/>
    <w:rsid w:val="0034228C"/>
    <w:rsid w:val="00343438"/>
    <w:rsid w:val="00345912"/>
    <w:rsid w:val="00346BC1"/>
    <w:rsid w:val="00367F33"/>
    <w:rsid w:val="003713E6"/>
    <w:rsid w:val="00386D0F"/>
    <w:rsid w:val="00394376"/>
    <w:rsid w:val="003954CD"/>
    <w:rsid w:val="003B159E"/>
    <w:rsid w:val="003B3DA4"/>
    <w:rsid w:val="003B7BC0"/>
    <w:rsid w:val="003C3B0B"/>
    <w:rsid w:val="003C583F"/>
    <w:rsid w:val="003D02C5"/>
    <w:rsid w:val="003D25A4"/>
    <w:rsid w:val="003E583F"/>
    <w:rsid w:val="003E7C9C"/>
    <w:rsid w:val="003F13A8"/>
    <w:rsid w:val="003F1A56"/>
    <w:rsid w:val="003F38AF"/>
    <w:rsid w:val="003F5A98"/>
    <w:rsid w:val="004013CC"/>
    <w:rsid w:val="00402942"/>
    <w:rsid w:val="00410416"/>
    <w:rsid w:val="004117B9"/>
    <w:rsid w:val="00415818"/>
    <w:rsid w:val="00422E19"/>
    <w:rsid w:val="00422EC0"/>
    <w:rsid w:val="00423377"/>
    <w:rsid w:val="00426F83"/>
    <w:rsid w:val="00437854"/>
    <w:rsid w:val="00440BDD"/>
    <w:rsid w:val="00440D6D"/>
    <w:rsid w:val="00444FB9"/>
    <w:rsid w:val="00451FEC"/>
    <w:rsid w:val="00453F0A"/>
    <w:rsid w:val="004605DB"/>
    <w:rsid w:val="00460F19"/>
    <w:rsid w:val="00466A69"/>
    <w:rsid w:val="004702DD"/>
    <w:rsid w:val="00475E08"/>
    <w:rsid w:val="00475E10"/>
    <w:rsid w:val="004804D3"/>
    <w:rsid w:val="004829C0"/>
    <w:rsid w:val="00490CC7"/>
    <w:rsid w:val="004976AE"/>
    <w:rsid w:val="004A20D4"/>
    <w:rsid w:val="004A3280"/>
    <w:rsid w:val="004A6D8A"/>
    <w:rsid w:val="004A7142"/>
    <w:rsid w:val="004B4F46"/>
    <w:rsid w:val="004C13CA"/>
    <w:rsid w:val="004C27BD"/>
    <w:rsid w:val="004C7689"/>
    <w:rsid w:val="004D00DC"/>
    <w:rsid w:val="004D6B49"/>
    <w:rsid w:val="004D7C72"/>
    <w:rsid w:val="004E233C"/>
    <w:rsid w:val="004E3F43"/>
    <w:rsid w:val="004E4DBC"/>
    <w:rsid w:val="004E6352"/>
    <w:rsid w:val="004F3C26"/>
    <w:rsid w:val="00500F6B"/>
    <w:rsid w:val="00506995"/>
    <w:rsid w:val="00516C3E"/>
    <w:rsid w:val="00525631"/>
    <w:rsid w:val="00532739"/>
    <w:rsid w:val="0053736D"/>
    <w:rsid w:val="0054203F"/>
    <w:rsid w:val="00550DF7"/>
    <w:rsid w:val="00552E24"/>
    <w:rsid w:val="00553FCA"/>
    <w:rsid w:val="00560128"/>
    <w:rsid w:val="00564ADD"/>
    <w:rsid w:val="00567A68"/>
    <w:rsid w:val="00580B1E"/>
    <w:rsid w:val="00582D93"/>
    <w:rsid w:val="00585D44"/>
    <w:rsid w:val="00594F2F"/>
    <w:rsid w:val="005A17E6"/>
    <w:rsid w:val="005A20F1"/>
    <w:rsid w:val="005B2A77"/>
    <w:rsid w:val="005B2BA3"/>
    <w:rsid w:val="005B388A"/>
    <w:rsid w:val="005B7A2B"/>
    <w:rsid w:val="005C082C"/>
    <w:rsid w:val="005C5F49"/>
    <w:rsid w:val="005C76FA"/>
    <w:rsid w:val="005D41B0"/>
    <w:rsid w:val="005D7622"/>
    <w:rsid w:val="005E6227"/>
    <w:rsid w:val="005F5A7B"/>
    <w:rsid w:val="006004FD"/>
    <w:rsid w:val="006063B3"/>
    <w:rsid w:val="00611E28"/>
    <w:rsid w:val="00613A88"/>
    <w:rsid w:val="0061568E"/>
    <w:rsid w:val="00630135"/>
    <w:rsid w:val="006335C2"/>
    <w:rsid w:val="00634E7C"/>
    <w:rsid w:val="0063603B"/>
    <w:rsid w:val="00640F9D"/>
    <w:rsid w:val="006423AC"/>
    <w:rsid w:val="00645108"/>
    <w:rsid w:val="00645BD1"/>
    <w:rsid w:val="00660214"/>
    <w:rsid w:val="006619BB"/>
    <w:rsid w:val="00665FB9"/>
    <w:rsid w:val="0067638E"/>
    <w:rsid w:val="00676480"/>
    <w:rsid w:val="00683514"/>
    <w:rsid w:val="006900FB"/>
    <w:rsid w:val="00697FDD"/>
    <w:rsid w:val="006A36C5"/>
    <w:rsid w:val="006A6025"/>
    <w:rsid w:val="006B360F"/>
    <w:rsid w:val="006B60D5"/>
    <w:rsid w:val="006C5A1C"/>
    <w:rsid w:val="006D4E58"/>
    <w:rsid w:val="006E472F"/>
    <w:rsid w:val="006E535E"/>
    <w:rsid w:val="006F24D0"/>
    <w:rsid w:val="006F3700"/>
    <w:rsid w:val="006F3CFB"/>
    <w:rsid w:val="006F5D2A"/>
    <w:rsid w:val="00717BA0"/>
    <w:rsid w:val="00721B5B"/>
    <w:rsid w:val="0072296B"/>
    <w:rsid w:val="007230D1"/>
    <w:rsid w:val="00724B8A"/>
    <w:rsid w:val="00734CDB"/>
    <w:rsid w:val="00735539"/>
    <w:rsid w:val="00736A67"/>
    <w:rsid w:val="00742584"/>
    <w:rsid w:val="007462F8"/>
    <w:rsid w:val="00754836"/>
    <w:rsid w:val="007707C3"/>
    <w:rsid w:val="007710A0"/>
    <w:rsid w:val="007743F0"/>
    <w:rsid w:val="007760B7"/>
    <w:rsid w:val="00785080"/>
    <w:rsid w:val="00790276"/>
    <w:rsid w:val="007918A4"/>
    <w:rsid w:val="00794A94"/>
    <w:rsid w:val="00795D3B"/>
    <w:rsid w:val="007A2B59"/>
    <w:rsid w:val="007B5E92"/>
    <w:rsid w:val="007C48D4"/>
    <w:rsid w:val="007C6CA5"/>
    <w:rsid w:val="007C75BE"/>
    <w:rsid w:val="007D3477"/>
    <w:rsid w:val="007D3ED7"/>
    <w:rsid w:val="007F47B7"/>
    <w:rsid w:val="007F5A31"/>
    <w:rsid w:val="0080049F"/>
    <w:rsid w:val="008021AC"/>
    <w:rsid w:val="00803E17"/>
    <w:rsid w:val="00805380"/>
    <w:rsid w:val="00814F34"/>
    <w:rsid w:val="00824FE4"/>
    <w:rsid w:val="00825F77"/>
    <w:rsid w:val="008266FA"/>
    <w:rsid w:val="00827641"/>
    <w:rsid w:val="00836F80"/>
    <w:rsid w:val="0084189B"/>
    <w:rsid w:val="00845F2D"/>
    <w:rsid w:val="00850031"/>
    <w:rsid w:val="00852E53"/>
    <w:rsid w:val="00857766"/>
    <w:rsid w:val="00862DC7"/>
    <w:rsid w:val="00863DB4"/>
    <w:rsid w:val="00864AA6"/>
    <w:rsid w:val="00873C64"/>
    <w:rsid w:val="00880FBE"/>
    <w:rsid w:val="00890488"/>
    <w:rsid w:val="008A3FF9"/>
    <w:rsid w:val="008A60CC"/>
    <w:rsid w:val="008A6360"/>
    <w:rsid w:val="008A7318"/>
    <w:rsid w:val="008B0814"/>
    <w:rsid w:val="008B3670"/>
    <w:rsid w:val="008B43CC"/>
    <w:rsid w:val="008C03A9"/>
    <w:rsid w:val="008C0803"/>
    <w:rsid w:val="008C0804"/>
    <w:rsid w:val="008C5098"/>
    <w:rsid w:val="008C554E"/>
    <w:rsid w:val="008D6332"/>
    <w:rsid w:val="008E129F"/>
    <w:rsid w:val="008E3205"/>
    <w:rsid w:val="008E339F"/>
    <w:rsid w:val="00903167"/>
    <w:rsid w:val="00931F42"/>
    <w:rsid w:val="009370FE"/>
    <w:rsid w:val="00942F89"/>
    <w:rsid w:val="00946A99"/>
    <w:rsid w:val="00951768"/>
    <w:rsid w:val="0095670D"/>
    <w:rsid w:val="00965637"/>
    <w:rsid w:val="00970EDE"/>
    <w:rsid w:val="00976CD8"/>
    <w:rsid w:val="009778E3"/>
    <w:rsid w:val="009807BF"/>
    <w:rsid w:val="00991F6A"/>
    <w:rsid w:val="00997307"/>
    <w:rsid w:val="009A0836"/>
    <w:rsid w:val="009A2AC0"/>
    <w:rsid w:val="009A2C6C"/>
    <w:rsid w:val="009B3C42"/>
    <w:rsid w:val="009B51DF"/>
    <w:rsid w:val="009C442E"/>
    <w:rsid w:val="009E0317"/>
    <w:rsid w:val="009E597B"/>
    <w:rsid w:val="00A12A39"/>
    <w:rsid w:val="00A15EB5"/>
    <w:rsid w:val="00A26E00"/>
    <w:rsid w:val="00A312AE"/>
    <w:rsid w:val="00A35F9B"/>
    <w:rsid w:val="00A427DE"/>
    <w:rsid w:val="00A438A3"/>
    <w:rsid w:val="00A531F5"/>
    <w:rsid w:val="00A57D77"/>
    <w:rsid w:val="00A62191"/>
    <w:rsid w:val="00A753EA"/>
    <w:rsid w:val="00A77A9C"/>
    <w:rsid w:val="00A81148"/>
    <w:rsid w:val="00A8312F"/>
    <w:rsid w:val="00A835F4"/>
    <w:rsid w:val="00A84A17"/>
    <w:rsid w:val="00A93035"/>
    <w:rsid w:val="00A93957"/>
    <w:rsid w:val="00AA24A1"/>
    <w:rsid w:val="00AA3928"/>
    <w:rsid w:val="00AB0124"/>
    <w:rsid w:val="00AB115F"/>
    <w:rsid w:val="00AB3D23"/>
    <w:rsid w:val="00AB5E39"/>
    <w:rsid w:val="00AB7A93"/>
    <w:rsid w:val="00AC3460"/>
    <w:rsid w:val="00AC7522"/>
    <w:rsid w:val="00AD32E7"/>
    <w:rsid w:val="00AF0891"/>
    <w:rsid w:val="00AF657B"/>
    <w:rsid w:val="00B02605"/>
    <w:rsid w:val="00B043E7"/>
    <w:rsid w:val="00B1310F"/>
    <w:rsid w:val="00B13C5F"/>
    <w:rsid w:val="00B1469C"/>
    <w:rsid w:val="00B20125"/>
    <w:rsid w:val="00B2029F"/>
    <w:rsid w:val="00B20985"/>
    <w:rsid w:val="00B2332F"/>
    <w:rsid w:val="00B3456E"/>
    <w:rsid w:val="00B42C78"/>
    <w:rsid w:val="00B44E0D"/>
    <w:rsid w:val="00B54634"/>
    <w:rsid w:val="00B56DE6"/>
    <w:rsid w:val="00B610E6"/>
    <w:rsid w:val="00B62A34"/>
    <w:rsid w:val="00B65E6A"/>
    <w:rsid w:val="00B72059"/>
    <w:rsid w:val="00B73B3B"/>
    <w:rsid w:val="00B76BF2"/>
    <w:rsid w:val="00B81258"/>
    <w:rsid w:val="00B81E37"/>
    <w:rsid w:val="00BA46D9"/>
    <w:rsid w:val="00BB2136"/>
    <w:rsid w:val="00BB6D37"/>
    <w:rsid w:val="00C13F76"/>
    <w:rsid w:val="00C20536"/>
    <w:rsid w:val="00C20F9A"/>
    <w:rsid w:val="00C21778"/>
    <w:rsid w:val="00C22E96"/>
    <w:rsid w:val="00C24252"/>
    <w:rsid w:val="00C2549B"/>
    <w:rsid w:val="00C35147"/>
    <w:rsid w:val="00C40187"/>
    <w:rsid w:val="00C402E2"/>
    <w:rsid w:val="00C4225C"/>
    <w:rsid w:val="00C50701"/>
    <w:rsid w:val="00C53B4B"/>
    <w:rsid w:val="00C567C5"/>
    <w:rsid w:val="00C61E2A"/>
    <w:rsid w:val="00C641DE"/>
    <w:rsid w:val="00C7259E"/>
    <w:rsid w:val="00C730CD"/>
    <w:rsid w:val="00C73590"/>
    <w:rsid w:val="00C74428"/>
    <w:rsid w:val="00C8088B"/>
    <w:rsid w:val="00C83B86"/>
    <w:rsid w:val="00C901DC"/>
    <w:rsid w:val="00CA36A0"/>
    <w:rsid w:val="00CA6492"/>
    <w:rsid w:val="00CB6549"/>
    <w:rsid w:val="00CC2C43"/>
    <w:rsid w:val="00CC36F1"/>
    <w:rsid w:val="00CC53CB"/>
    <w:rsid w:val="00CC5837"/>
    <w:rsid w:val="00CD2A4C"/>
    <w:rsid w:val="00CD6664"/>
    <w:rsid w:val="00CE0B9D"/>
    <w:rsid w:val="00CE15B4"/>
    <w:rsid w:val="00CE1DC3"/>
    <w:rsid w:val="00CE512D"/>
    <w:rsid w:val="00CF4244"/>
    <w:rsid w:val="00CF6B22"/>
    <w:rsid w:val="00CF7151"/>
    <w:rsid w:val="00D12369"/>
    <w:rsid w:val="00D1536C"/>
    <w:rsid w:val="00D24A1C"/>
    <w:rsid w:val="00D32C47"/>
    <w:rsid w:val="00D33CA5"/>
    <w:rsid w:val="00D34989"/>
    <w:rsid w:val="00D35A52"/>
    <w:rsid w:val="00D3664B"/>
    <w:rsid w:val="00D446F7"/>
    <w:rsid w:val="00D46EA0"/>
    <w:rsid w:val="00D53820"/>
    <w:rsid w:val="00D577B4"/>
    <w:rsid w:val="00D60F34"/>
    <w:rsid w:val="00D62E32"/>
    <w:rsid w:val="00D71F2E"/>
    <w:rsid w:val="00D71F59"/>
    <w:rsid w:val="00D72A37"/>
    <w:rsid w:val="00D838C5"/>
    <w:rsid w:val="00D918A4"/>
    <w:rsid w:val="00D93049"/>
    <w:rsid w:val="00D979A4"/>
    <w:rsid w:val="00DA1B5B"/>
    <w:rsid w:val="00DA4C6A"/>
    <w:rsid w:val="00DA539E"/>
    <w:rsid w:val="00DB3108"/>
    <w:rsid w:val="00DD1950"/>
    <w:rsid w:val="00DD6836"/>
    <w:rsid w:val="00DD73DE"/>
    <w:rsid w:val="00DE13A5"/>
    <w:rsid w:val="00DE43F6"/>
    <w:rsid w:val="00E005E5"/>
    <w:rsid w:val="00E0062B"/>
    <w:rsid w:val="00E02B78"/>
    <w:rsid w:val="00E02CD2"/>
    <w:rsid w:val="00E032AD"/>
    <w:rsid w:val="00E13872"/>
    <w:rsid w:val="00E14DB0"/>
    <w:rsid w:val="00E15D24"/>
    <w:rsid w:val="00E2255F"/>
    <w:rsid w:val="00E23AFE"/>
    <w:rsid w:val="00E3065C"/>
    <w:rsid w:val="00E30734"/>
    <w:rsid w:val="00E326E4"/>
    <w:rsid w:val="00E34ABA"/>
    <w:rsid w:val="00E35796"/>
    <w:rsid w:val="00E36909"/>
    <w:rsid w:val="00E45F5E"/>
    <w:rsid w:val="00E5239D"/>
    <w:rsid w:val="00E56815"/>
    <w:rsid w:val="00E65994"/>
    <w:rsid w:val="00E721F4"/>
    <w:rsid w:val="00E74B8A"/>
    <w:rsid w:val="00E80723"/>
    <w:rsid w:val="00E80CF0"/>
    <w:rsid w:val="00E839F8"/>
    <w:rsid w:val="00E90F7E"/>
    <w:rsid w:val="00E9755E"/>
    <w:rsid w:val="00EA4FD4"/>
    <w:rsid w:val="00EB0742"/>
    <w:rsid w:val="00EB36BB"/>
    <w:rsid w:val="00EB3EF0"/>
    <w:rsid w:val="00EB4B6D"/>
    <w:rsid w:val="00EC4234"/>
    <w:rsid w:val="00EC4736"/>
    <w:rsid w:val="00EC7CA8"/>
    <w:rsid w:val="00ED3C45"/>
    <w:rsid w:val="00ED62AE"/>
    <w:rsid w:val="00ED6DC9"/>
    <w:rsid w:val="00ED7E98"/>
    <w:rsid w:val="00EE6D84"/>
    <w:rsid w:val="00EF6708"/>
    <w:rsid w:val="00F074D5"/>
    <w:rsid w:val="00F11134"/>
    <w:rsid w:val="00F26CFD"/>
    <w:rsid w:val="00F3047B"/>
    <w:rsid w:val="00F324A0"/>
    <w:rsid w:val="00F3670B"/>
    <w:rsid w:val="00F45317"/>
    <w:rsid w:val="00F468BE"/>
    <w:rsid w:val="00F52857"/>
    <w:rsid w:val="00F53934"/>
    <w:rsid w:val="00F606DC"/>
    <w:rsid w:val="00F62847"/>
    <w:rsid w:val="00F86442"/>
    <w:rsid w:val="00F90025"/>
    <w:rsid w:val="00F905F8"/>
    <w:rsid w:val="00FA24C4"/>
    <w:rsid w:val="00FB18A8"/>
    <w:rsid w:val="00FC1767"/>
    <w:rsid w:val="00FC66E8"/>
    <w:rsid w:val="00FC6D7C"/>
    <w:rsid w:val="00FD1B21"/>
    <w:rsid w:val="00FD407B"/>
    <w:rsid w:val="00FD6BDE"/>
    <w:rsid w:val="00FD7FEC"/>
    <w:rsid w:val="00FE29B5"/>
    <w:rsid w:val="00FE582D"/>
    <w:rsid w:val="00FE6F34"/>
    <w:rsid w:val="00FF481C"/>
    <w:rsid w:val="00FF55A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6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2"/>
    <w:pPr>
      <w:spacing w:before="0" w:after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C75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64B"/>
    <w:pPr>
      <w:spacing w:before="60" w:after="120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8C50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5B2A77"/>
    <w:rPr>
      <w:b/>
      <w:bCs/>
    </w:rPr>
  </w:style>
  <w:style w:type="paragraph" w:customStyle="1" w:styleId="Default">
    <w:name w:val="Default"/>
    <w:rsid w:val="00020D62"/>
    <w:pPr>
      <w:autoSpaceDE w:val="0"/>
      <w:autoSpaceDN w:val="0"/>
      <w:adjustRightInd w:val="0"/>
      <w:spacing w:after="60"/>
    </w:pPr>
    <w:rPr>
      <w:rFonts w:eastAsia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12F"/>
    <w:rPr>
      <w:rFonts w:eastAsia="Times New Roman" w:cs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5"/>
    <w:uiPriority w:val="99"/>
    <w:rsid w:val="00177412"/>
    <w:rPr>
      <w:rFonts w:ascii="Times New Roman" w:hAnsi="Times New Roman" w:cs="Times New Roman"/>
      <w:spacing w:val="0"/>
      <w:sz w:val="26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6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2"/>
    <w:pPr>
      <w:spacing w:before="0" w:after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2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C75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64B"/>
    <w:pPr>
      <w:spacing w:before="60" w:after="120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5">
    <w:name w:val="Table Grid"/>
    <w:basedOn w:val="a1"/>
    <w:uiPriority w:val="59"/>
    <w:rsid w:val="008C50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5B2A77"/>
    <w:rPr>
      <w:b/>
      <w:bCs/>
    </w:rPr>
  </w:style>
  <w:style w:type="paragraph" w:customStyle="1" w:styleId="Default">
    <w:name w:val="Default"/>
    <w:rsid w:val="00020D62"/>
    <w:pPr>
      <w:autoSpaceDE w:val="0"/>
      <w:autoSpaceDN w:val="0"/>
      <w:adjustRightInd w:val="0"/>
      <w:spacing w:after="60"/>
    </w:pPr>
    <w:rPr>
      <w:rFonts w:eastAsia="Calibri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12F"/>
    <w:rPr>
      <w:rFonts w:eastAsia="Times New Roman" w:cs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">
    <w:name w:val="Основной текст (3)5"/>
    <w:uiPriority w:val="99"/>
    <w:rsid w:val="00177412"/>
    <w:rPr>
      <w:rFonts w:ascii="Times New Roman" w:hAnsi="Times New Roman" w:cs="Times New Roman"/>
      <w:spacing w:val="0"/>
      <w:sz w:val="26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621817009715889E-2"/>
          <c:y val="8.7078585765014663E-2"/>
          <c:w val="0.60136648708385132"/>
          <c:h val="0.75565354330708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Хороший уровень</c:v>
                </c:pt>
              </c:strCache>
            </c:strRef>
          </c:tx>
          <c:spPr>
            <a:pattFill prst="pct60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Удовлетворительный уровень</c:v>
                </c:pt>
              </c:strCache>
            </c:strRef>
          </c:tx>
          <c:spPr>
            <a:pattFill prst="lgCheck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Неудовлетворительный уровень</c:v>
                </c:pt>
              </c:strCache>
            </c:strRef>
          </c:tx>
          <c:spPr>
            <a:pattFill prst="trellis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11136"/>
        <c:axId val="90012672"/>
      </c:barChart>
      <c:catAx>
        <c:axId val="9001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012672"/>
        <c:crosses val="autoZero"/>
        <c:auto val="1"/>
        <c:lblAlgn val="ctr"/>
        <c:lblOffset val="100"/>
        <c:noMultiLvlLbl val="0"/>
      </c:catAx>
      <c:valAx>
        <c:axId val="9001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1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55555555555554"/>
          <c:y val="0.14510792033348774"/>
          <c:w val="0.2304093567251462"/>
          <c:h val="0.7097841593330245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Заключения по ОРВ - 2017</a:t>
            </a:r>
          </a:p>
        </c:rich>
      </c:tx>
      <c:layout>
        <c:manualLayout>
          <c:xMode val="edge"/>
          <c:yMode val="edge"/>
          <c:x val="9.6385542168674704E-2"/>
          <c:y val="4.0213254593175853E-2"/>
        </c:manualLayout>
      </c:layout>
      <c:overlay val="0"/>
      <c:spPr>
        <a:noFill/>
        <a:ln w="253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10349203038362"/>
          <c:y val="0.1187957848552513"/>
          <c:w val="0.63879021744798459"/>
          <c:h val="0.71983076742272889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spPr>
              <a:pattFill prst="openDmnd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pct7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709233282925727"/>
                  <c:y val="-0.22581541113330983"/>
                </c:manualLayout>
              </c:layout>
              <c:tx>
                <c:rich>
                  <a:bodyPr/>
                  <a:lstStyle/>
                  <a:p>
                    <a:pPr>
                      <a:defRPr sz="1050"/>
                    </a:pPr>
                    <a:r>
                      <a:rPr lang="en-US" sz="1050"/>
                      <a:t>89,9</a:t>
                    </a:r>
                    <a:r>
                      <a:rPr lang="ru-RU" sz="1050"/>
                      <a:t> %</a:t>
                    </a:r>
                    <a:endParaRPr lang="en-US" sz="105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799794893188023E-2"/>
                  <c:y val="6.6084537940220164E-2"/>
                </c:manualLayout>
              </c:layout>
              <c:tx>
                <c:rich>
                  <a:bodyPr/>
                  <a:lstStyle/>
                  <a:p>
                    <a:pPr>
                      <a:defRPr sz="1050"/>
                    </a:pPr>
                    <a:r>
                      <a:rPr lang="en-US" sz="1050"/>
                      <a:t>10,1</a:t>
                    </a:r>
                    <a:r>
                      <a:rPr lang="ru-RU" sz="1050"/>
                      <a:t>%</a:t>
                    </a:r>
                    <a:endParaRPr lang="en-US" sz="105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Положительные заключения</c:v>
                </c:pt>
                <c:pt idx="1">
                  <c:v>Отрицательные заключения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89.9</c:v>
                </c:pt>
                <c:pt idx="1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17">
          <a:noFill/>
        </a:ln>
      </c:spPr>
    </c:plotArea>
    <c:legend>
      <c:legendPos val="r"/>
      <c:layout>
        <c:manualLayout>
          <c:xMode val="edge"/>
          <c:yMode val="edge"/>
          <c:x val="0.12969283276450511"/>
          <c:y val="0.83333333333333337"/>
          <c:w val="0.80340005692059591"/>
          <c:h val="0.13953488372093023"/>
        </c:manualLayout>
      </c:layout>
      <c:overlay val="0"/>
      <c:spPr>
        <a:noFill/>
        <a:ln w="25317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Заключения по ОРВ - 2016</a:t>
            </a:r>
          </a:p>
        </c:rich>
      </c:tx>
      <c:layout>
        <c:manualLayout>
          <c:xMode val="edge"/>
          <c:yMode val="edge"/>
          <c:x val="0.15194955893671186"/>
          <c:y val="3.5622184781487466E-2"/>
        </c:manualLayout>
      </c:layout>
      <c:overlay val="0"/>
      <c:spPr>
        <a:noFill/>
        <a:ln w="253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163796460926254"/>
          <c:y val="0.17455870255024092"/>
          <c:w val="0.55072356278045886"/>
          <c:h val="0.63703098679829195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pattFill prst="openDmnd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pct7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887443908221142"/>
                  <c:y val="-0.19409057076820621"/>
                </c:manualLayout>
              </c:layout>
              <c:tx>
                <c:rich>
                  <a:bodyPr/>
                  <a:lstStyle/>
                  <a:p>
                    <a:pPr>
                      <a:defRPr sz="10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91,5%</a:t>
                    </a:r>
                  </a:p>
                </c:rich>
              </c:tx>
              <c:spPr>
                <a:noFill/>
                <a:ln w="2531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414190161713656E-2"/>
                  <c:y val="7.1950092059388127E-2"/>
                </c:manualLayout>
              </c:layout>
              <c:tx>
                <c:rich>
                  <a:bodyPr/>
                  <a:lstStyle/>
                  <a:p>
                    <a:pPr>
                      <a:defRPr sz="10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8,5%</a:t>
                    </a:r>
                  </a:p>
                </c:rich>
              </c:tx>
              <c:spPr>
                <a:noFill/>
                <a:ln w="2531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Положительные заключения</c:v>
                </c:pt>
                <c:pt idx="1">
                  <c:v>Отрицательные заключения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91.5</c:v>
                </c:pt>
                <c:pt idx="1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17">
          <a:noFill/>
        </a:ln>
      </c:spPr>
    </c:plotArea>
    <c:legend>
      <c:legendPos val="r"/>
      <c:layout>
        <c:manualLayout>
          <c:xMode val="edge"/>
          <c:yMode val="edge"/>
          <c:x val="0.1229234287836207"/>
          <c:y val="0.81782942599800923"/>
          <c:w val="0.87707628481923627"/>
          <c:h val="0.18217064284874837"/>
        </c:manualLayout>
      </c:layout>
      <c:overlay val="0"/>
      <c:spPr>
        <a:noFill/>
        <a:ln w="25317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Заключения по экспертизе - 2017</a:t>
            </a:r>
          </a:p>
        </c:rich>
      </c:tx>
      <c:layout>
        <c:manualLayout>
          <c:xMode val="edge"/>
          <c:yMode val="edge"/>
          <c:x val="0.13386880856760375"/>
          <c:y val="3.9102027140224494E-3"/>
        </c:manualLayout>
      </c:layout>
      <c:overlay val="0"/>
      <c:spPr>
        <a:noFill/>
        <a:ln w="2531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772378909539247"/>
          <c:y val="0.17638055573631808"/>
          <c:w val="0.61507867209362477"/>
          <c:h val="0.6860753562829439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explosion val="2"/>
            <c:spPr>
              <a:pattFill prst="openDmnd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265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6"/>
            <c:spPr>
              <a:pattFill prst="pct75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265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4392665202563962E-2"/>
                  <c:y val="-4.7251542881464138E-2"/>
                </c:manualLayout>
              </c:layout>
              <c:tx>
                <c:rich>
                  <a:bodyPr/>
                  <a:lstStyle/>
                  <a:p>
                    <a:pPr>
                      <a:defRPr sz="1000" baseline="0">
                        <a:latin typeface="Times New Roman" panose="02020603050405020304" pitchFamily="18" charset="0"/>
                      </a:defRPr>
                    </a:pPr>
                    <a:r>
                      <a:rPr lang="en-US" sz="1000" baseline="0">
                        <a:latin typeface="Times New Roman" panose="02020603050405020304" pitchFamily="18" charset="0"/>
                      </a:rPr>
                      <a:t>75,0</a:t>
                    </a:r>
                    <a:r>
                      <a:rPr lang="ru-RU" sz="1000" baseline="0">
                        <a:latin typeface="Times New Roman" panose="02020603050405020304" pitchFamily="18" charset="0"/>
                      </a:rPr>
                      <a:t> %</a:t>
                    </a:r>
                    <a:endParaRPr lang="en-US" sz="1000" baseline="0">
                      <a:latin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464018804878306E-2"/>
                  <c:y val="4.3749411801612445E-2"/>
                </c:manualLayout>
              </c:layout>
              <c:tx>
                <c:rich>
                  <a:bodyPr/>
                  <a:lstStyle/>
                  <a:p>
                    <a:pPr>
                      <a:defRPr sz="1000" baseline="0">
                        <a:latin typeface="Times New Roman" panose="02020603050405020304" pitchFamily="18" charset="0"/>
                      </a:defRPr>
                    </a:pPr>
                    <a:r>
                      <a:rPr lang="en-US" sz="1000" baseline="0">
                        <a:latin typeface="Times New Roman" panose="02020603050405020304" pitchFamily="18" charset="0"/>
                      </a:rPr>
                      <a:t>25,0</a:t>
                    </a:r>
                    <a:r>
                      <a:rPr lang="ru-RU" sz="1000" baseline="0">
                        <a:latin typeface="Times New Roman" panose="02020603050405020304" pitchFamily="18" charset="0"/>
                      </a:rPr>
                      <a:t>%</a:t>
                    </a:r>
                    <a:endParaRPr lang="en-US" sz="1000" baseline="0">
                      <a:latin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Положительные заключения</c:v>
                </c:pt>
                <c:pt idx="1">
                  <c:v>Отрицательные заключения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"/>
      </c:pieChart>
      <c:spPr>
        <a:noFill/>
        <a:ln w="25313">
          <a:noFill/>
        </a:ln>
      </c:spPr>
    </c:plotArea>
    <c:legend>
      <c:legendPos val="r"/>
      <c:layout>
        <c:manualLayout>
          <c:xMode val="edge"/>
          <c:yMode val="edge"/>
          <c:x val="0.11228070175438597"/>
          <c:y val="0.86036036036036034"/>
          <c:w val="0.79916796114771371"/>
          <c:h val="0.13963963963963963"/>
        </c:manualLayout>
      </c:layout>
      <c:overlay val="0"/>
      <c:spPr>
        <a:noFill/>
        <a:ln w="25313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Заключения по экспертизе - 2016</a:t>
            </a:r>
          </a:p>
        </c:rich>
      </c:tx>
      <c:layout>
        <c:manualLayout>
          <c:xMode val="edge"/>
          <c:yMode val="edge"/>
          <c:x val="0.1918819188191882"/>
          <c:y val="6.0054332940411173E-5"/>
        </c:manualLayout>
      </c:layout>
      <c:overlay val="0"/>
      <c:spPr>
        <a:noFill/>
        <a:ln w="253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110474827010261"/>
          <c:y val="0.14440241301883597"/>
          <c:w val="0.67344184743705471"/>
          <c:h val="0.70482951214109835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pattFill prst="openDmnd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pct7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2242012183901454E-2"/>
                  <c:y val="-0.11558974047163013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88,4%</a:t>
                    </a:r>
                    <a:endParaRPr lang="ru-RU"/>
                  </a:p>
                </c:rich>
              </c:tx>
              <c:spPr>
                <a:noFill/>
                <a:ln w="2531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825144550658104E-2"/>
                  <c:y val="7.349689396933491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11,6%</a:t>
                    </a:r>
                    <a:endParaRPr lang="ru-RU"/>
                  </a:p>
                </c:rich>
              </c:tx>
              <c:spPr>
                <a:noFill/>
                <a:ln w="2531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Положительные заключения</c:v>
                </c:pt>
                <c:pt idx="1">
                  <c:v>Отрицательные заключения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91.5</c:v>
                </c:pt>
                <c:pt idx="1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29"/>
      </c:pieChart>
      <c:spPr>
        <a:noFill/>
        <a:ln w="25317">
          <a:noFill/>
        </a:ln>
      </c:spPr>
    </c:plotArea>
    <c:legend>
      <c:legendPos val="b"/>
      <c:layout>
        <c:manualLayout>
          <c:xMode val="edge"/>
          <c:yMode val="edge"/>
          <c:x val="0.12292358803986711"/>
          <c:y val="0.82558139534883723"/>
          <c:w val="0.82957414456034329"/>
          <c:h val="0.17441845888666901"/>
        </c:manualLayout>
      </c:layout>
      <c:overlay val="0"/>
      <c:spPr>
        <a:noFill/>
        <a:ln w="25317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051031794678359E-2"/>
          <c:y val="3.4831434306005868E-2"/>
          <c:w val="0.91258019394282297"/>
          <c:h val="0.56911656631156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pattFill prst="dkUpDiag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 w="15875">
              <a:solidFill>
                <a:schemeClr val="bg1">
                  <a:lumMod val="50000"/>
                </a:schemeClr>
              </a:solidFill>
            </a:ln>
          </c:spPr>
          <c:invertIfNegative val="0"/>
          <c:cat>
            <c:strRef>
              <c:f>Лист1!$A$2:$A$25</c:f>
              <c:strCache>
                <c:ptCount val="24"/>
                <c:pt idx="0">
                  <c:v>Димитровград</c:v>
                </c:pt>
                <c:pt idx="1">
                  <c:v>Ульяновск</c:v>
                </c:pt>
                <c:pt idx="2">
                  <c:v>Базарносызганский район</c:v>
                </c:pt>
                <c:pt idx="3">
                  <c:v>Барышский район</c:v>
                </c:pt>
                <c:pt idx="4">
                  <c:v>Вешкаймский район</c:v>
                </c:pt>
                <c:pt idx="5">
                  <c:v>Инзенский район</c:v>
                </c:pt>
                <c:pt idx="6">
                  <c:v>Карсунский район</c:v>
                </c:pt>
                <c:pt idx="7">
                  <c:v>Кузоватовский район</c:v>
                </c:pt>
                <c:pt idx="8">
                  <c:v>Майнский район</c:v>
                </c:pt>
                <c:pt idx="9">
                  <c:v>Мелекесский район</c:v>
                </c:pt>
                <c:pt idx="10">
                  <c:v>Николаевский район</c:v>
                </c:pt>
                <c:pt idx="11">
                  <c:v>Новомалыклинский район</c:v>
                </c:pt>
                <c:pt idx="12">
                  <c:v>Новоспасский район</c:v>
                </c:pt>
                <c:pt idx="13">
                  <c:v>Новоульяновск</c:v>
                </c:pt>
                <c:pt idx="14">
                  <c:v>Павловский  район</c:v>
                </c:pt>
                <c:pt idx="15">
                  <c:v>Радищевский район</c:v>
                </c:pt>
                <c:pt idx="16">
                  <c:v>Сенгилеевский район</c:v>
                </c:pt>
                <c:pt idx="17">
                  <c:v>Старокулаткинский район</c:v>
                </c:pt>
                <c:pt idx="18">
                  <c:v>Старомайнский район</c:v>
                </c:pt>
                <c:pt idx="19">
                  <c:v>Сурский район</c:v>
                </c:pt>
                <c:pt idx="20">
                  <c:v>Тереньгульский район</c:v>
                </c:pt>
                <c:pt idx="21">
                  <c:v>Ульяновский район</c:v>
                </c:pt>
                <c:pt idx="22">
                  <c:v>Цильнинский район</c:v>
                </c:pt>
                <c:pt idx="23">
                  <c:v>Чердаклинский район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60</c:v>
                </c:pt>
                <c:pt idx="1">
                  <c:v>80</c:v>
                </c:pt>
                <c:pt idx="2">
                  <c:v>44</c:v>
                </c:pt>
                <c:pt idx="3">
                  <c:v>40</c:v>
                </c:pt>
                <c:pt idx="4">
                  <c:v>18</c:v>
                </c:pt>
                <c:pt idx="5">
                  <c:v>48</c:v>
                </c:pt>
                <c:pt idx="6">
                  <c:v>44</c:v>
                </c:pt>
                <c:pt idx="7">
                  <c:v>36</c:v>
                </c:pt>
                <c:pt idx="8">
                  <c:v>36</c:v>
                </c:pt>
                <c:pt idx="9">
                  <c:v>24</c:v>
                </c:pt>
                <c:pt idx="10">
                  <c:v>48</c:v>
                </c:pt>
                <c:pt idx="11">
                  <c:v>40</c:v>
                </c:pt>
                <c:pt idx="12">
                  <c:v>48</c:v>
                </c:pt>
                <c:pt idx="13">
                  <c:v>24</c:v>
                </c:pt>
                <c:pt idx="14">
                  <c:v>28</c:v>
                </c:pt>
                <c:pt idx="15">
                  <c:v>28</c:v>
                </c:pt>
                <c:pt idx="16">
                  <c:v>36</c:v>
                </c:pt>
                <c:pt idx="17">
                  <c:v>24</c:v>
                </c:pt>
                <c:pt idx="18">
                  <c:v>24</c:v>
                </c:pt>
                <c:pt idx="19">
                  <c:v>28</c:v>
                </c:pt>
                <c:pt idx="20">
                  <c:v>40</c:v>
                </c:pt>
                <c:pt idx="21">
                  <c:v>14</c:v>
                </c:pt>
                <c:pt idx="22">
                  <c:v>24</c:v>
                </c:pt>
                <c:pt idx="2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pattFill prst="pct90">
              <a:fgClr>
                <a:schemeClr val="bg1">
                  <a:lumMod val="65000"/>
                </a:schemeClr>
              </a:fgClr>
              <a:bgClr>
                <a:schemeClr val="bg1"/>
              </a:bgClr>
            </a:pattFill>
            <a:ln w="15875"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Лист1!$A$2:$A$25</c:f>
              <c:strCache>
                <c:ptCount val="24"/>
                <c:pt idx="0">
                  <c:v>Димитровград</c:v>
                </c:pt>
                <c:pt idx="1">
                  <c:v>Ульяновск</c:v>
                </c:pt>
                <c:pt idx="2">
                  <c:v>Базарносызганский район</c:v>
                </c:pt>
                <c:pt idx="3">
                  <c:v>Барышский район</c:v>
                </c:pt>
                <c:pt idx="4">
                  <c:v>Вешкаймский район</c:v>
                </c:pt>
                <c:pt idx="5">
                  <c:v>Инзенский район</c:v>
                </c:pt>
                <c:pt idx="6">
                  <c:v>Карсунский район</c:v>
                </c:pt>
                <c:pt idx="7">
                  <c:v>Кузоватовский район</c:v>
                </c:pt>
                <c:pt idx="8">
                  <c:v>Майнский район</c:v>
                </c:pt>
                <c:pt idx="9">
                  <c:v>Мелекесский район</c:v>
                </c:pt>
                <c:pt idx="10">
                  <c:v>Николаевский район</c:v>
                </c:pt>
                <c:pt idx="11">
                  <c:v>Новомалыклинский район</c:v>
                </c:pt>
                <c:pt idx="12">
                  <c:v>Новоспасский район</c:v>
                </c:pt>
                <c:pt idx="13">
                  <c:v>Новоульяновск</c:v>
                </c:pt>
                <c:pt idx="14">
                  <c:v>Павловский  район</c:v>
                </c:pt>
                <c:pt idx="15">
                  <c:v>Радищевский район</c:v>
                </c:pt>
                <c:pt idx="16">
                  <c:v>Сенгилеевский район</c:v>
                </c:pt>
                <c:pt idx="17">
                  <c:v>Старокулаткинский район</c:v>
                </c:pt>
                <c:pt idx="18">
                  <c:v>Старомайнский район</c:v>
                </c:pt>
                <c:pt idx="19">
                  <c:v>Сурский район</c:v>
                </c:pt>
                <c:pt idx="20">
                  <c:v>Тереньгульский район</c:v>
                </c:pt>
                <c:pt idx="21">
                  <c:v>Ульяновский район</c:v>
                </c:pt>
                <c:pt idx="22">
                  <c:v>Цильнинский район</c:v>
                </c:pt>
                <c:pt idx="23">
                  <c:v>Чердаклинский район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51</c:v>
                </c:pt>
                <c:pt idx="1">
                  <c:v>70</c:v>
                </c:pt>
                <c:pt idx="2">
                  <c:v>45</c:v>
                </c:pt>
                <c:pt idx="3">
                  <c:v>68</c:v>
                </c:pt>
                <c:pt idx="4">
                  <c:v>45</c:v>
                </c:pt>
                <c:pt idx="5">
                  <c:v>65</c:v>
                </c:pt>
                <c:pt idx="6">
                  <c:v>42</c:v>
                </c:pt>
                <c:pt idx="7">
                  <c:v>51</c:v>
                </c:pt>
                <c:pt idx="8">
                  <c:v>53</c:v>
                </c:pt>
                <c:pt idx="9">
                  <c:v>54</c:v>
                </c:pt>
                <c:pt idx="10">
                  <c:v>30</c:v>
                </c:pt>
                <c:pt idx="11">
                  <c:v>27</c:v>
                </c:pt>
                <c:pt idx="12">
                  <c:v>42</c:v>
                </c:pt>
                <c:pt idx="13">
                  <c:v>25</c:v>
                </c:pt>
                <c:pt idx="14">
                  <c:v>34</c:v>
                </c:pt>
                <c:pt idx="15">
                  <c:v>53</c:v>
                </c:pt>
                <c:pt idx="16">
                  <c:v>53</c:v>
                </c:pt>
                <c:pt idx="17">
                  <c:v>56</c:v>
                </c:pt>
                <c:pt idx="18">
                  <c:v>26</c:v>
                </c:pt>
                <c:pt idx="19">
                  <c:v>38</c:v>
                </c:pt>
                <c:pt idx="20">
                  <c:v>35</c:v>
                </c:pt>
                <c:pt idx="21">
                  <c:v>36</c:v>
                </c:pt>
                <c:pt idx="22">
                  <c:v>36</c:v>
                </c:pt>
                <c:pt idx="2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wdUpDiag">
              <a:fgClr>
                <a:schemeClr val="tx1">
                  <a:lumMod val="85000"/>
                  <a:lumOff val="15000"/>
                </a:schemeClr>
              </a:fgClr>
              <a:bgClr>
                <a:schemeClr val="bg1"/>
              </a:bgClr>
            </a:pattFill>
            <a:ln w="22225"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Лист1!$A$2:$A$25</c:f>
              <c:strCache>
                <c:ptCount val="24"/>
                <c:pt idx="0">
                  <c:v>Димитровград</c:v>
                </c:pt>
                <c:pt idx="1">
                  <c:v>Ульяновск</c:v>
                </c:pt>
                <c:pt idx="2">
                  <c:v>Базарносызганский район</c:v>
                </c:pt>
                <c:pt idx="3">
                  <c:v>Барышский район</c:v>
                </c:pt>
                <c:pt idx="4">
                  <c:v>Вешкаймский район</c:v>
                </c:pt>
                <c:pt idx="5">
                  <c:v>Инзенский район</c:v>
                </c:pt>
                <c:pt idx="6">
                  <c:v>Карсунский район</c:v>
                </c:pt>
                <c:pt idx="7">
                  <c:v>Кузоватовский район</c:v>
                </c:pt>
                <c:pt idx="8">
                  <c:v>Майнский район</c:v>
                </c:pt>
                <c:pt idx="9">
                  <c:v>Мелекесский район</c:v>
                </c:pt>
                <c:pt idx="10">
                  <c:v>Николаевский район</c:v>
                </c:pt>
                <c:pt idx="11">
                  <c:v>Новомалыклинский район</c:v>
                </c:pt>
                <c:pt idx="12">
                  <c:v>Новоспасский район</c:v>
                </c:pt>
                <c:pt idx="13">
                  <c:v>Новоульяновск</c:v>
                </c:pt>
                <c:pt idx="14">
                  <c:v>Павловский  район</c:v>
                </c:pt>
                <c:pt idx="15">
                  <c:v>Радищевский район</c:v>
                </c:pt>
                <c:pt idx="16">
                  <c:v>Сенгилеевский район</c:v>
                </c:pt>
                <c:pt idx="17">
                  <c:v>Старокулаткинский район</c:v>
                </c:pt>
                <c:pt idx="18">
                  <c:v>Старомайнский район</c:v>
                </c:pt>
                <c:pt idx="19">
                  <c:v>Сурский район</c:v>
                </c:pt>
                <c:pt idx="20">
                  <c:v>Тереньгульский район</c:v>
                </c:pt>
                <c:pt idx="21">
                  <c:v>Ульяновский район</c:v>
                </c:pt>
                <c:pt idx="22">
                  <c:v>Цильнинский район</c:v>
                </c:pt>
                <c:pt idx="23">
                  <c:v>Чердаклинский район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73</c:v>
                </c:pt>
                <c:pt idx="1">
                  <c:v>53</c:v>
                </c:pt>
                <c:pt idx="2">
                  <c:v>58</c:v>
                </c:pt>
                <c:pt idx="3">
                  <c:v>72</c:v>
                </c:pt>
                <c:pt idx="4">
                  <c:v>51</c:v>
                </c:pt>
                <c:pt idx="5">
                  <c:v>69</c:v>
                </c:pt>
                <c:pt idx="6">
                  <c:v>52</c:v>
                </c:pt>
                <c:pt idx="7">
                  <c:v>59</c:v>
                </c:pt>
                <c:pt idx="8">
                  <c:v>59</c:v>
                </c:pt>
                <c:pt idx="9">
                  <c:v>38</c:v>
                </c:pt>
                <c:pt idx="10">
                  <c:v>44</c:v>
                </c:pt>
                <c:pt idx="11">
                  <c:v>48</c:v>
                </c:pt>
                <c:pt idx="12">
                  <c:v>42</c:v>
                </c:pt>
                <c:pt idx="13">
                  <c:v>37</c:v>
                </c:pt>
                <c:pt idx="14">
                  <c:v>52</c:v>
                </c:pt>
                <c:pt idx="15">
                  <c:v>52</c:v>
                </c:pt>
                <c:pt idx="16">
                  <c:v>48</c:v>
                </c:pt>
                <c:pt idx="17">
                  <c:v>69</c:v>
                </c:pt>
                <c:pt idx="18">
                  <c:v>51</c:v>
                </c:pt>
                <c:pt idx="19">
                  <c:v>57</c:v>
                </c:pt>
                <c:pt idx="20">
                  <c:v>40</c:v>
                </c:pt>
                <c:pt idx="21">
                  <c:v>40</c:v>
                </c:pt>
                <c:pt idx="22">
                  <c:v>54</c:v>
                </c:pt>
                <c:pt idx="2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34400"/>
        <c:axId val="91689728"/>
      </c:barChart>
      <c:catAx>
        <c:axId val="92134400"/>
        <c:scaling>
          <c:orientation val="minMax"/>
        </c:scaling>
        <c:delete val="0"/>
        <c:axPos val="b"/>
        <c:majorTickMark val="none"/>
        <c:minorTickMark val="in"/>
        <c:tickLblPos val="nextTo"/>
        <c:crossAx val="91689728"/>
        <c:crosses val="autoZero"/>
        <c:auto val="1"/>
        <c:lblAlgn val="ctr"/>
        <c:lblOffset val="100"/>
        <c:noMultiLvlLbl val="0"/>
      </c:catAx>
      <c:valAx>
        <c:axId val="91689728"/>
        <c:scaling>
          <c:orientation val="minMax"/>
          <c:max val="80"/>
          <c:min val="1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9213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02399514966835"/>
          <c:y val="0.8983418249189441"/>
          <c:w val="0.3032086290299596"/>
          <c:h val="0.101172518141114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621E-61AA-4A96-A2A1-E8E538F5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bokareva</dc:creator>
  <cp:keywords/>
  <dc:description/>
  <cp:lastModifiedBy>lezenkova</cp:lastModifiedBy>
  <cp:revision>2</cp:revision>
  <cp:lastPrinted>2018-03-19T13:30:00Z</cp:lastPrinted>
  <dcterms:created xsi:type="dcterms:W3CDTF">2018-05-11T05:34:00Z</dcterms:created>
  <dcterms:modified xsi:type="dcterms:W3CDTF">2018-05-11T05:34:00Z</dcterms:modified>
</cp:coreProperties>
</file>