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7C123E">
        <w:rPr>
          <w:b/>
          <w:sz w:val="28"/>
          <w:szCs w:val="28"/>
        </w:rPr>
        <w:t>Закона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7C123E" w:rsidRPr="007C123E">
        <w:rPr>
          <w:b/>
          <w:sz w:val="28"/>
          <w:szCs w:val="28"/>
        </w:rPr>
        <w:t>О внесении изменений в Закон Ульяновской области «О порядке управления и распоряжения государственной собственностью Ульяновской области»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</w:t>
      </w:r>
      <w:proofErr w:type="gramStart"/>
      <w:r w:rsidR="001956FB" w:rsidRPr="001956FB">
        <w:rPr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7C123E" w:rsidRPr="007C123E">
        <w:rPr>
          <w:sz w:val="28"/>
          <w:szCs w:val="28"/>
        </w:rPr>
        <w:t>Закона Ульяновской области «О внесении изменений в</w:t>
      </w:r>
      <w:proofErr w:type="gramEnd"/>
      <w:r w:rsidR="007C123E" w:rsidRPr="007C123E">
        <w:rPr>
          <w:sz w:val="28"/>
          <w:szCs w:val="28"/>
        </w:rPr>
        <w:t xml:space="preserve"> Закон Ульяновской области «О порядке управления и распоряжения государственной собственностью Ульяновской области»»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A44F55" w:rsidRPr="00A44F55">
        <w:rPr>
          <w:sz w:val="28"/>
          <w:szCs w:val="28"/>
        </w:rPr>
        <w:t>Агентство</w:t>
      </w:r>
      <w:r w:rsidR="007C123E">
        <w:rPr>
          <w:sz w:val="28"/>
          <w:szCs w:val="28"/>
        </w:rPr>
        <w:t xml:space="preserve">м </w:t>
      </w:r>
      <w:r w:rsidR="007C123E" w:rsidRPr="007C123E">
        <w:rPr>
          <w:sz w:val="28"/>
          <w:szCs w:val="28"/>
        </w:rPr>
        <w:t>государственного имущества и земельных отношений</w:t>
      </w:r>
      <w:r w:rsidR="00A44F55" w:rsidRPr="00A44F55">
        <w:rPr>
          <w:sz w:val="28"/>
          <w:szCs w:val="28"/>
        </w:rPr>
        <w:t xml:space="preserve"> Ульяновской области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E8157E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E30EB" w:rsidRPr="008140AD" w:rsidRDefault="004E30E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C123E" w:rsidRDefault="000624A5" w:rsidP="007C123E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</w:t>
      </w:r>
      <w:r w:rsidR="00F26797">
        <w:rPr>
          <w:sz w:val="28"/>
          <w:szCs w:val="28"/>
        </w:rPr>
        <w:t>разработан в</w:t>
      </w:r>
      <w:r w:rsidR="00A3340C">
        <w:rPr>
          <w:sz w:val="28"/>
          <w:szCs w:val="28"/>
        </w:rPr>
        <w:t xml:space="preserve"> соответствии с</w:t>
      </w:r>
      <w:r w:rsidR="00F26797" w:rsidRPr="00F26797">
        <w:rPr>
          <w:sz w:val="28"/>
          <w:szCs w:val="28"/>
        </w:rPr>
        <w:t xml:space="preserve"> </w:t>
      </w:r>
      <w:r w:rsidR="007C123E">
        <w:rPr>
          <w:sz w:val="28"/>
          <w:szCs w:val="28"/>
        </w:rPr>
        <w:t xml:space="preserve">Бюджетным Кодексом Российской Федерации, </w:t>
      </w:r>
      <w:r w:rsidR="007C123E" w:rsidRPr="007C123E">
        <w:rPr>
          <w:sz w:val="28"/>
          <w:szCs w:val="28"/>
        </w:rPr>
        <w:t>Федеральн</w:t>
      </w:r>
      <w:r w:rsidR="007C123E">
        <w:rPr>
          <w:sz w:val="28"/>
          <w:szCs w:val="28"/>
        </w:rPr>
        <w:t>ым</w:t>
      </w:r>
      <w:r w:rsidR="007C123E" w:rsidRPr="007C123E">
        <w:rPr>
          <w:sz w:val="28"/>
          <w:szCs w:val="28"/>
        </w:rPr>
        <w:t xml:space="preserve"> закон</w:t>
      </w:r>
      <w:r w:rsidR="007C123E">
        <w:rPr>
          <w:sz w:val="28"/>
          <w:szCs w:val="28"/>
        </w:rPr>
        <w:t>ом</w:t>
      </w:r>
      <w:r w:rsidR="007C123E" w:rsidRPr="007C123E">
        <w:rPr>
          <w:sz w:val="28"/>
          <w:szCs w:val="28"/>
        </w:rPr>
        <w:t xml:space="preserve"> от 14.11.2002 № 161-ФЗ </w:t>
      </w:r>
      <w:r w:rsidR="007C123E">
        <w:rPr>
          <w:sz w:val="28"/>
          <w:szCs w:val="28"/>
        </w:rPr>
        <w:br/>
      </w:r>
      <w:r w:rsidR="007C123E" w:rsidRPr="007C123E">
        <w:rPr>
          <w:sz w:val="28"/>
          <w:szCs w:val="28"/>
        </w:rPr>
        <w:t>«О государственных и муниципальных унитарных предприятиях»</w:t>
      </w:r>
      <w:r w:rsidR="007C123E">
        <w:rPr>
          <w:sz w:val="28"/>
          <w:szCs w:val="28"/>
        </w:rPr>
        <w:t xml:space="preserve"> и направлен на совершенствование общественных </w:t>
      </w:r>
      <w:r w:rsidR="007C123E" w:rsidRPr="007C123E">
        <w:rPr>
          <w:sz w:val="28"/>
          <w:szCs w:val="28"/>
        </w:rPr>
        <w:t xml:space="preserve">отношений, возникающих в связи с </w:t>
      </w:r>
      <w:r w:rsidR="007C123E" w:rsidRPr="007C123E">
        <w:rPr>
          <w:sz w:val="28"/>
          <w:szCs w:val="28"/>
        </w:rPr>
        <w:lastRenderedPageBreak/>
        <w:t>реализацией Ульяновской областью полномочий собственника в отношении имущества Ульяновской области, с целью повышения эффективности использования областного недвижимого имущества и создания условий для привлечения инвестиций в процесс восстановления и сохранности</w:t>
      </w:r>
      <w:proofErr w:type="gramEnd"/>
      <w:r w:rsidR="007C123E" w:rsidRPr="007C123E">
        <w:rPr>
          <w:sz w:val="28"/>
          <w:szCs w:val="28"/>
        </w:rPr>
        <w:t xml:space="preserve"> объектов недвижимого имущества, находящихся в собственности Ульяновской области, а также </w:t>
      </w:r>
      <w:r w:rsidR="00CA5D2D">
        <w:rPr>
          <w:sz w:val="28"/>
          <w:szCs w:val="28"/>
        </w:rPr>
        <w:t>роста</w:t>
      </w:r>
      <w:r w:rsidR="007C123E" w:rsidRPr="007C123E">
        <w:rPr>
          <w:sz w:val="28"/>
          <w:szCs w:val="28"/>
        </w:rPr>
        <w:t xml:space="preserve"> доходной части бюджета Ульяновской области за сч</w:t>
      </w:r>
      <w:r w:rsidR="007C123E">
        <w:rPr>
          <w:sz w:val="28"/>
          <w:szCs w:val="28"/>
        </w:rPr>
        <w:t>ё</w:t>
      </w:r>
      <w:r w:rsidR="007C123E" w:rsidRPr="007C123E">
        <w:rPr>
          <w:sz w:val="28"/>
          <w:szCs w:val="28"/>
        </w:rPr>
        <w:t>т увеличения части прибыли областных государственных унитарных предприятий, остающуюся после уплаты налогов и иных обязательных платежей, без учёта доходов, полученных в виде субсидий областного бюджета, и подлежащую перечислению в областной бюджет.</w:t>
      </w:r>
    </w:p>
    <w:p w:rsidR="007C123E" w:rsidRDefault="007C123E" w:rsidP="007C1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устанавливается порядок</w:t>
      </w:r>
      <w:r w:rsidRPr="007C123E">
        <w:rPr>
          <w:sz w:val="28"/>
          <w:szCs w:val="28"/>
        </w:rPr>
        <w:t xml:space="preserve"> передачи в аренду объектов областной</w:t>
      </w:r>
      <w:r>
        <w:rPr>
          <w:sz w:val="28"/>
          <w:szCs w:val="28"/>
        </w:rPr>
        <w:t xml:space="preserve"> </w:t>
      </w:r>
      <w:r w:rsidRPr="007C123E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(объекты недвижимости)</w:t>
      </w:r>
      <w:r w:rsidRPr="007C123E">
        <w:rPr>
          <w:sz w:val="28"/>
          <w:szCs w:val="28"/>
        </w:rPr>
        <w:t>, находящи</w:t>
      </w:r>
      <w:r w:rsidR="00CA5D2D">
        <w:rPr>
          <w:sz w:val="28"/>
          <w:szCs w:val="28"/>
        </w:rPr>
        <w:t>х</w:t>
      </w:r>
      <w:r w:rsidRPr="007C123E">
        <w:rPr>
          <w:sz w:val="28"/>
          <w:szCs w:val="28"/>
        </w:rPr>
        <w:t>ся в неудовлетворительном состоянии</w:t>
      </w:r>
      <w:r w:rsidR="00341264">
        <w:rPr>
          <w:sz w:val="28"/>
          <w:szCs w:val="28"/>
        </w:rPr>
        <w:t>, в том числе порядок определения арендной платы.</w:t>
      </w:r>
    </w:p>
    <w:p w:rsidR="007C123E" w:rsidRDefault="00341264" w:rsidP="004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акта изменяется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и порядок расчёта </w:t>
      </w:r>
      <w:r w:rsidRPr="00341264">
        <w:rPr>
          <w:sz w:val="28"/>
          <w:szCs w:val="28"/>
        </w:rPr>
        <w:t>части прибыли областных государственных унитарных предприятий, подлежащ</w:t>
      </w:r>
      <w:r w:rsidR="00CA5D2D">
        <w:rPr>
          <w:sz w:val="28"/>
          <w:szCs w:val="28"/>
        </w:rPr>
        <w:t>ей</w:t>
      </w:r>
      <w:r w:rsidRPr="00341264">
        <w:rPr>
          <w:sz w:val="28"/>
          <w:szCs w:val="28"/>
        </w:rPr>
        <w:t xml:space="preserve"> перечислению в областной бюджет</w:t>
      </w:r>
      <w:r w:rsidR="00983AE4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.</w:t>
      </w:r>
    </w:p>
    <w:p w:rsidR="00341264" w:rsidRDefault="00341264" w:rsidP="004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вступает в силу </w:t>
      </w:r>
      <w:r w:rsidRPr="00341264">
        <w:rPr>
          <w:sz w:val="28"/>
          <w:szCs w:val="28"/>
        </w:rPr>
        <w:t>по истечении 10 дней со дня официального опубликования</w:t>
      </w:r>
      <w:r>
        <w:rPr>
          <w:sz w:val="28"/>
          <w:szCs w:val="28"/>
        </w:rPr>
        <w:t>.</w:t>
      </w:r>
    </w:p>
    <w:p w:rsidR="007C123E" w:rsidRDefault="00341264" w:rsidP="004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</w:t>
      </w:r>
      <w:r w:rsidRPr="00341264">
        <w:rPr>
          <w:sz w:val="28"/>
          <w:szCs w:val="28"/>
        </w:rPr>
        <w:t>повышени</w:t>
      </w:r>
      <w:r w:rsidR="00CA5D2D">
        <w:rPr>
          <w:sz w:val="28"/>
          <w:szCs w:val="28"/>
        </w:rPr>
        <w:t>е</w:t>
      </w:r>
      <w:bookmarkStart w:id="0" w:name="_GoBack"/>
      <w:bookmarkEnd w:id="0"/>
      <w:r w:rsidRPr="00341264">
        <w:rPr>
          <w:sz w:val="28"/>
          <w:szCs w:val="28"/>
        </w:rPr>
        <w:t xml:space="preserve"> эффективности использования областного недвижимого имущества</w:t>
      </w:r>
      <w:r>
        <w:rPr>
          <w:sz w:val="28"/>
          <w:szCs w:val="28"/>
        </w:rPr>
        <w:t xml:space="preserve"> на территории Ульяновской области.</w:t>
      </w:r>
    </w:p>
    <w:p w:rsidR="00CA58B5" w:rsidRDefault="00CA58B5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C5B37" w:rsidRPr="00EC5B37" w:rsidRDefault="00EC5B37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разработчика акта, </w:t>
      </w:r>
      <w:r w:rsidRPr="00EC5B37">
        <w:rPr>
          <w:sz w:val="28"/>
          <w:szCs w:val="28"/>
        </w:rPr>
        <w:t xml:space="preserve">значительная часть объектов государственной собственности Ульяновской области находится в неудовлетворительном состоянии, в </w:t>
      </w:r>
      <w:r w:rsidRPr="00EC5B37">
        <w:rPr>
          <w:sz w:val="28"/>
          <w:szCs w:val="28"/>
        </w:rPr>
        <w:t>связи,</w:t>
      </w:r>
      <w:r w:rsidRPr="00EC5B37">
        <w:rPr>
          <w:sz w:val="28"/>
          <w:szCs w:val="28"/>
        </w:rPr>
        <w:t xml:space="preserve"> с чем передача такого имущества на правах аренды является затруднительной. </w:t>
      </w:r>
      <w:r>
        <w:rPr>
          <w:sz w:val="28"/>
          <w:szCs w:val="28"/>
        </w:rPr>
        <w:t>Тем самым</w:t>
      </w:r>
      <w:r w:rsidRPr="00EC5B37">
        <w:rPr>
          <w:sz w:val="28"/>
          <w:szCs w:val="28"/>
        </w:rPr>
        <w:t xml:space="preserve">, объекты недвижимого имущества, находящиеся в </w:t>
      </w:r>
      <w:r>
        <w:rPr>
          <w:sz w:val="28"/>
          <w:szCs w:val="28"/>
        </w:rPr>
        <w:t>собственности</w:t>
      </w:r>
      <w:r w:rsidRPr="00EC5B37">
        <w:rPr>
          <w:sz w:val="28"/>
          <w:szCs w:val="28"/>
        </w:rPr>
        <w:t xml:space="preserve"> Ульяновской области, которые имеют дефекты и </w:t>
      </w:r>
      <w:proofErr w:type="gramStart"/>
      <w:r w:rsidRPr="00EC5B37">
        <w:rPr>
          <w:sz w:val="28"/>
          <w:szCs w:val="28"/>
        </w:rPr>
        <w:t>повреждения, приведшие к снижению несущей способности конструкций и эксплуатационных характеристик остаются</w:t>
      </w:r>
      <w:proofErr w:type="gramEnd"/>
      <w:r w:rsidRPr="00EC5B37">
        <w:rPr>
          <w:sz w:val="28"/>
          <w:szCs w:val="28"/>
        </w:rPr>
        <w:t xml:space="preserve"> невостребованн</w:t>
      </w:r>
      <w:r>
        <w:rPr>
          <w:sz w:val="28"/>
          <w:szCs w:val="28"/>
        </w:rPr>
        <w:t>ыми, и постепенно приходят в ещё</w:t>
      </w:r>
      <w:r w:rsidRPr="00EC5B37">
        <w:rPr>
          <w:sz w:val="28"/>
          <w:szCs w:val="28"/>
        </w:rPr>
        <w:t xml:space="preserve"> </w:t>
      </w:r>
      <w:r>
        <w:rPr>
          <w:sz w:val="28"/>
          <w:szCs w:val="28"/>
        </w:rPr>
        <w:t>худшее</w:t>
      </w:r>
      <w:r w:rsidRPr="00EC5B37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 (обветшание)</w:t>
      </w:r>
      <w:r w:rsidRPr="00EC5B37">
        <w:rPr>
          <w:sz w:val="28"/>
          <w:szCs w:val="28"/>
        </w:rPr>
        <w:t>.</w:t>
      </w:r>
    </w:p>
    <w:p w:rsidR="006053EE" w:rsidRDefault="00EC5B37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B37">
        <w:rPr>
          <w:sz w:val="28"/>
          <w:szCs w:val="28"/>
        </w:rPr>
        <w:t xml:space="preserve">С целью повышения эффективности использования областного недвижимого имущества, </w:t>
      </w:r>
      <w:r>
        <w:rPr>
          <w:sz w:val="28"/>
          <w:szCs w:val="28"/>
        </w:rPr>
        <w:t>проектом акта</w:t>
      </w:r>
      <w:r w:rsidRPr="00EC5B37">
        <w:rPr>
          <w:sz w:val="28"/>
          <w:szCs w:val="28"/>
        </w:rPr>
        <w:t xml:space="preserve"> предлагается предусмотреть возможность передачи в аренду объектов, находящихся в государственной собственности Ульяновской области и в неудовлетворительном состоянии (за исключением объектов культурного наследия), как </w:t>
      </w:r>
      <w:proofErr w:type="gramStart"/>
      <w:r w:rsidRPr="00EC5B37">
        <w:rPr>
          <w:sz w:val="28"/>
          <w:szCs w:val="28"/>
        </w:rPr>
        <w:t>физическим</w:t>
      </w:r>
      <w:proofErr w:type="gramEnd"/>
      <w:r w:rsidRPr="00EC5B37">
        <w:rPr>
          <w:sz w:val="28"/>
          <w:szCs w:val="28"/>
        </w:rPr>
        <w:t xml:space="preserve"> так и юридическим лицам на льготных условиях, если они будут подвергнуты капитальному ремонту этими лицами.</w:t>
      </w:r>
    </w:p>
    <w:p w:rsidR="006053EE" w:rsidRDefault="00EC5B37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повышения доходной части областного бюджета Ульяновской области может быть частично решена за счёт</w:t>
      </w:r>
      <w:r w:rsidRPr="00EC5B37">
        <w:t xml:space="preserve"> </w:t>
      </w:r>
      <w:r w:rsidRPr="00EC5B37">
        <w:rPr>
          <w:sz w:val="28"/>
          <w:szCs w:val="28"/>
        </w:rPr>
        <w:t>увелич</w:t>
      </w:r>
      <w:r>
        <w:rPr>
          <w:sz w:val="28"/>
          <w:szCs w:val="28"/>
        </w:rPr>
        <w:t>ения</w:t>
      </w:r>
      <w:r w:rsidRPr="00EC5B37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EC5B37">
        <w:rPr>
          <w:sz w:val="28"/>
          <w:szCs w:val="28"/>
        </w:rPr>
        <w:t xml:space="preserve"> отчислений унитарными предприятиями части прибыли, остающейся после уплаты налогов и иных обязательных платежей предприятия</w:t>
      </w:r>
      <w:r>
        <w:rPr>
          <w:sz w:val="28"/>
          <w:szCs w:val="28"/>
        </w:rPr>
        <w:t xml:space="preserve">, в региональный бюджет. </w:t>
      </w:r>
      <w:proofErr w:type="gramStart"/>
      <w:r>
        <w:rPr>
          <w:sz w:val="28"/>
          <w:szCs w:val="28"/>
        </w:rPr>
        <w:t xml:space="preserve">Данная </w:t>
      </w:r>
      <w:r>
        <w:rPr>
          <w:sz w:val="28"/>
          <w:szCs w:val="28"/>
        </w:rPr>
        <w:lastRenderedPageBreak/>
        <w:t xml:space="preserve">возможность предусмотрена </w:t>
      </w:r>
      <w:r w:rsidRPr="00EC5B3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EC5B37">
        <w:rPr>
          <w:sz w:val="28"/>
          <w:szCs w:val="28"/>
        </w:rPr>
        <w:t xml:space="preserve"> 2 статьи 17 Федерального закона от 14.11.2002 № 161-ФЗ «О государственных и муниципальных унитарных предприятиях»</w:t>
      </w:r>
      <w:r>
        <w:rPr>
          <w:sz w:val="28"/>
          <w:szCs w:val="28"/>
        </w:rPr>
        <w:t>, согласно которому</w:t>
      </w:r>
      <w:r w:rsidRPr="00EC5B37">
        <w:rPr>
          <w:sz w:val="28"/>
          <w:szCs w:val="28"/>
        </w:rPr>
        <w:t xml:space="preserve"> 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Правительством Российской Федерации, уполномоченными органами государственной власти субъектов Российской</w:t>
      </w:r>
      <w:proofErr w:type="gramEnd"/>
      <w:r w:rsidRPr="00EC5B37">
        <w:rPr>
          <w:sz w:val="28"/>
          <w:szCs w:val="28"/>
        </w:rPr>
        <w:t xml:space="preserve"> Федерации или органами местного самоуправления.</w:t>
      </w:r>
    </w:p>
    <w:p w:rsidR="00EC5B37" w:rsidRDefault="00212CD9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проблемой</w:t>
      </w:r>
      <w:r w:rsidR="008F6A8C">
        <w:rPr>
          <w:sz w:val="28"/>
          <w:szCs w:val="28"/>
        </w:rPr>
        <w:t>,</w:t>
      </w:r>
      <w:r>
        <w:rPr>
          <w:sz w:val="28"/>
          <w:szCs w:val="28"/>
        </w:rPr>
        <w:t xml:space="preserve"> на решение которой направлен</w:t>
      </w:r>
      <w:r w:rsidR="008F6A8C">
        <w:rPr>
          <w:sz w:val="28"/>
          <w:szCs w:val="28"/>
        </w:rPr>
        <w:t>о регулирование, является</w:t>
      </w:r>
      <w:r>
        <w:rPr>
          <w:sz w:val="28"/>
          <w:szCs w:val="28"/>
        </w:rPr>
        <w:t xml:space="preserve"> </w:t>
      </w:r>
      <w:r w:rsidR="00EC5B37">
        <w:rPr>
          <w:sz w:val="28"/>
          <w:szCs w:val="28"/>
        </w:rPr>
        <w:t xml:space="preserve">увеличение доходной части </w:t>
      </w:r>
      <w:r w:rsidR="00E33434">
        <w:rPr>
          <w:sz w:val="28"/>
          <w:szCs w:val="28"/>
        </w:rPr>
        <w:t>регионального</w:t>
      </w:r>
      <w:r w:rsidR="00EC5B37">
        <w:rPr>
          <w:sz w:val="28"/>
          <w:szCs w:val="28"/>
        </w:rPr>
        <w:t xml:space="preserve"> бюджета</w:t>
      </w:r>
      <w:r w:rsidR="00927358">
        <w:rPr>
          <w:sz w:val="28"/>
          <w:szCs w:val="28"/>
        </w:rPr>
        <w:t xml:space="preserve"> за счёт повышения эффективности управления областной собственностью Ульяновской области.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</w:t>
      </w:r>
      <w:r w:rsidR="00E33434">
        <w:rPr>
          <w:sz w:val="28"/>
          <w:szCs w:val="28"/>
        </w:rPr>
        <w:t>нению разработчика акта, основными</w:t>
      </w:r>
      <w:r w:rsidRPr="00390379">
        <w:rPr>
          <w:sz w:val="28"/>
          <w:szCs w:val="28"/>
        </w:rPr>
        <w:t xml:space="preserve"> цел</w:t>
      </w:r>
      <w:r w:rsidR="00E33434">
        <w:rPr>
          <w:sz w:val="28"/>
          <w:szCs w:val="28"/>
        </w:rPr>
        <w:t>ями</w:t>
      </w:r>
      <w:r w:rsidRPr="00390379">
        <w:rPr>
          <w:sz w:val="28"/>
          <w:szCs w:val="28"/>
        </w:rPr>
        <w:t xml:space="preserve">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6765BE" w:rsidRPr="00390379" w:rsidTr="000D45E1">
        <w:tc>
          <w:tcPr>
            <w:tcW w:w="3652" w:type="dxa"/>
          </w:tcPr>
          <w:p w:rsidR="006765BE" w:rsidRPr="00390379" w:rsidRDefault="006765BE" w:rsidP="006765BE">
            <w:pPr>
              <w:jc w:val="both"/>
            </w:pPr>
            <w:r w:rsidRPr="006765BE">
              <w:t>повышени</w:t>
            </w:r>
            <w:r>
              <w:t>е</w:t>
            </w:r>
            <w:r w:rsidRPr="006765BE">
              <w:t xml:space="preserve"> эффективности использования областного недвижимого имущества</w:t>
            </w:r>
            <w:r>
              <w:t xml:space="preserve"> Ульяновской области</w:t>
            </w:r>
          </w:p>
        </w:tc>
        <w:tc>
          <w:tcPr>
            <w:tcW w:w="2878" w:type="dxa"/>
            <w:vMerge w:val="restart"/>
          </w:tcPr>
          <w:p w:rsidR="006765BE" w:rsidRPr="00390379" w:rsidRDefault="006765BE" w:rsidP="0008269A">
            <w:pPr>
              <w:jc w:val="center"/>
            </w:pPr>
            <w:r>
              <w:t>Апрель 2019</w:t>
            </w:r>
          </w:p>
        </w:tc>
        <w:tc>
          <w:tcPr>
            <w:tcW w:w="3298" w:type="dxa"/>
            <w:vMerge w:val="restart"/>
          </w:tcPr>
          <w:p w:rsidR="006765BE" w:rsidRPr="00390379" w:rsidRDefault="006765BE" w:rsidP="006765BE">
            <w:pPr>
              <w:jc w:val="center"/>
            </w:pPr>
            <w:r>
              <w:t>-</w:t>
            </w:r>
          </w:p>
        </w:tc>
      </w:tr>
      <w:tr w:rsidR="006765BE" w:rsidRPr="00390379" w:rsidTr="004457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5BE" w:rsidRPr="00390379" w:rsidRDefault="006765BE" w:rsidP="006765BE">
            <w:pPr>
              <w:jc w:val="both"/>
            </w:pPr>
            <w:r w:rsidRPr="006765BE">
              <w:t>увеличение доходной части бюджета Ульяновской области</w:t>
            </w:r>
          </w:p>
        </w:tc>
        <w:tc>
          <w:tcPr>
            <w:tcW w:w="2878" w:type="dxa"/>
            <w:vMerge/>
            <w:tcBorders>
              <w:bottom w:val="single" w:sz="4" w:space="0" w:color="auto"/>
            </w:tcBorders>
          </w:tcPr>
          <w:p w:rsidR="006765BE" w:rsidRPr="00390379" w:rsidRDefault="006765BE" w:rsidP="0008269A">
            <w:pPr>
              <w:jc w:val="center"/>
            </w:pPr>
          </w:p>
        </w:tc>
        <w:tc>
          <w:tcPr>
            <w:tcW w:w="3298" w:type="dxa"/>
            <w:vMerge/>
            <w:tcBorders>
              <w:bottom w:val="single" w:sz="4" w:space="0" w:color="auto"/>
            </w:tcBorders>
          </w:tcPr>
          <w:p w:rsidR="006765BE" w:rsidRPr="00390379" w:rsidRDefault="006765BE" w:rsidP="006765BE">
            <w:pPr>
              <w:jc w:val="center"/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923529" w:rsidRDefault="000D45E1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принятие проекта акта будет способствовать </w:t>
      </w:r>
      <w:r w:rsidR="006765BE">
        <w:rPr>
          <w:sz w:val="28"/>
          <w:szCs w:val="28"/>
        </w:rPr>
        <w:t>созданию</w:t>
      </w:r>
      <w:r w:rsidR="006765BE" w:rsidRPr="006765BE">
        <w:rPr>
          <w:sz w:val="28"/>
          <w:szCs w:val="28"/>
        </w:rPr>
        <w:t xml:space="preserve"> эффективной системы правовых норм, направленных на регулирование отношений, возникающих в связи с реализацией Ульяновской областью полномочий собственника в отношении </w:t>
      </w:r>
      <w:r w:rsidR="006765BE">
        <w:rPr>
          <w:sz w:val="28"/>
          <w:szCs w:val="28"/>
        </w:rPr>
        <w:t xml:space="preserve">областного </w:t>
      </w:r>
      <w:r w:rsidR="006765BE" w:rsidRPr="006765BE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1769D9" w:rsidRDefault="00F352C9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2C9">
        <w:rPr>
          <w:sz w:val="28"/>
          <w:szCs w:val="28"/>
        </w:rPr>
        <w:t xml:space="preserve">По итогам мониторинга регионального законодательства в </w:t>
      </w:r>
      <w:r w:rsidR="00637102">
        <w:rPr>
          <w:sz w:val="28"/>
          <w:szCs w:val="28"/>
        </w:rPr>
        <w:t xml:space="preserve">части установления </w:t>
      </w:r>
      <w:r w:rsidR="00637102" w:rsidRPr="00637102">
        <w:rPr>
          <w:sz w:val="28"/>
          <w:szCs w:val="28"/>
        </w:rPr>
        <w:t>порядк</w:t>
      </w:r>
      <w:r w:rsidR="00637102">
        <w:rPr>
          <w:sz w:val="28"/>
          <w:szCs w:val="28"/>
        </w:rPr>
        <w:t>а</w:t>
      </w:r>
      <w:r w:rsidR="00637102" w:rsidRPr="00637102">
        <w:rPr>
          <w:sz w:val="28"/>
          <w:szCs w:val="28"/>
        </w:rPr>
        <w:t xml:space="preserve"> управления и распоряжения государственной собственностью</w:t>
      </w:r>
      <w:r w:rsidR="00637102">
        <w:rPr>
          <w:sz w:val="28"/>
          <w:szCs w:val="28"/>
        </w:rPr>
        <w:t xml:space="preserve"> установлено, что схожее регулирование действует в большинстве субъектов Российской Федерации.</w:t>
      </w:r>
    </w:p>
    <w:p w:rsidR="00637102" w:rsidRDefault="00637102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51143B">
        <w:rPr>
          <w:sz w:val="28"/>
          <w:szCs w:val="28"/>
        </w:rPr>
        <w:t xml:space="preserve">нормативных правовых актов, предусматривающих </w:t>
      </w:r>
      <w:r w:rsidR="0051143B" w:rsidRPr="0051143B">
        <w:rPr>
          <w:sz w:val="28"/>
          <w:szCs w:val="28"/>
        </w:rPr>
        <w:t>передач</w:t>
      </w:r>
      <w:r w:rsidR="0051143B">
        <w:rPr>
          <w:sz w:val="28"/>
          <w:szCs w:val="28"/>
        </w:rPr>
        <w:t>у</w:t>
      </w:r>
      <w:r w:rsidR="0051143B" w:rsidRPr="0051143B">
        <w:rPr>
          <w:sz w:val="28"/>
          <w:szCs w:val="28"/>
        </w:rPr>
        <w:t xml:space="preserve"> в аренду </w:t>
      </w:r>
      <w:r w:rsidR="0051143B">
        <w:rPr>
          <w:sz w:val="28"/>
          <w:szCs w:val="28"/>
        </w:rPr>
        <w:t xml:space="preserve">на льготных условиях областных </w:t>
      </w:r>
      <w:r w:rsidR="0051143B" w:rsidRPr="0051143B">
        <w:rPr>
          <w:sz w:val="28"/>
          <w:szCs w:val="28"/>
        </w:rPr>
        <w:t>объектов</w:t>
      </w:r>
      <w:r w:rsidR="0051143B">
        <w:rPr>
          <w:sz w:val="28"/>
          <w:szCs w:val="28"/>
        </w:rPr>
        <w:t xml:space="preserve"> недвижимости</w:t>
      </w:r>
      <w:r w:rsidR="0051143B" w:rsidRPr="0051143B">
        <w:rPr>
          <w:sz w:val="28"/>
          <w:szCs w:val="28"/>
        </w:rPr>
        <w:t xml:space="preserve">, находящихся в неудовлетворительном состоянии (за исключением объектов культурного наследия), </w:t>
      </w:r>
      <w:r w:rsidR="0051143B">
        <w:rPr>
          <w:sz w:val="28"/>
          <w:szCs w:val="28"/>
        </w:rPr>
        <w:t>на условиях</w:t>
      </w:r>
      <w:r w:rsidR="0051143B" w:rsidRPr="0051143B">
        <w:rPr>
          <w:sz w:val="28"/>
          <w:szCs w:val="28"/>
        </w:rPr>
        <w:t xml:space="preserve"> ка</w:t>
      </w:r>
      <w:r w:rsidR="0051143B">
        <w:rPr>
          <w:sz w:val="28"/>
          <w:szCs w:val="28"/>
        </w:rPr>
        <w:t>питального ремонта, не выявлено.</w:t>
      </w:r>
    </w:p>
    <w:p w:rsidR="00324835" w:rsidRDefault="0051143B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установления обязанности унитарных предприятий по перечислению в региональный бюджет </w:t>
      </w:r>
      <w:r w:rsidRPr="0051143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51143B">
        <w:rPr>
          <w:sz w:val="28"/>
          <w:szCs w:val="28"/>
        </w:rPr>
        <w:t xml:space="preserve"> прибыли, остающейся после </w:t>
      </w:r>
      <w:r w:rsidRPr="0051143B">
        <w:rPr>
          <w:sz w:val="28"/>
          <w:szCs w:val="28"/>
        </w:rPr>
        <w:lastRenderedPageBreak/>
        <w:t xml:space="preserve">уплаты налогов и иных обязательных платежей предприятия, </w:t>
      </w:r>
      <w:r>
        <w:rPr>
          <w:sz w:val="28"/>
          <w:szCs w:val="28"/>
        </w:rPr>
        <w:t>установлено, что размер отчисляемой части прибыли отлича</w:t>
      </w:r>
      <w:r w:rsidR="006B49A7">
        <w:rPr>
          <w:sz w:val="28"/>
          <w:szCs w:val="28"/>
        </w:rPr>
        <w:t>ется в зависимости от субъекта Р</w:t>
      </w:r>
      <w:r>
        <w:rPr>
          <w:sz w:val="28"/>
          <w:szCs w:val="28"/>
        </w:rPr>
        <w:t>оссийской Федерации. Так, например:</w:t>
      </w:r>
    </w:p>
    <w:p w:rsidR="0051143B" w:rsidRDefault="0051143B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9A7" w:rsidRPr="00390379" w:rsidRDefault="006B49A7" w:rsidP="006B49A7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6B49A7" w:rsidRDefault="006B49A7" w:rsidP="006B49A7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84"/>
      </w:tblGrid>
      <w:tr w:rsidR="006B49A7" w:rsidRPr="00C214CE" w:rsidTr="006B49A7">
        <w:tc>
          <w:tcPr>
            <w:tcW w:w="4644" w:type="dxa"/>
          </w:tcPr>
          <w:p w:rsidR="006B49A7" w:rsidRPr="00C214CE" w:rsidRDefault="006B49A7" w:rsidP="006B49A7">
            <w:pPr>
              <w:jc w:val="center"/>
              <w:rPr>
                <w:b/>
              </w:rPr>
            </w:pPr>
            <w:r>
              <w:rPr>
                <w:b/>
              </w:rPr>
              <w:t>Субъект Российской Федерации</w:t>
            </w:r>
          </w:p>
        </w:tc>
        <w:tc>
          <w:tcPr>
            <w:tcW w:w="5184" w:type="dxa"/>
          </w:tcPr>
          <w:p w:rsidR="006B49A7" w:rsidRPr="006B49A7" w:rsidRDefault="006B49A7" w:rsidP="0008269A">
            <w:pPr>
              <w:jc w:val="center"/>
              <w:rPr>
                <w:b/>
              </w:rPr>
            </w:pPr>
            <w:r w:rsidRPr="006B49A7">
              <w:rPr>
                <w:b/>
              </w:rPr>
              <w:t xml:space="preserve">Размер </w:t>
            </w:r>
            <w:r w:rsidRPr="006B49A7">
              <w:rPr>
                <w:b/>
              </w:rPr>
              <w:t>отчисляемой части прибыли</w:t>
            </w:r>
          </w:p>
        </w:tc>
      </w:tr>
      <w:tr w:rsidR="006B49A7" w:rsidRPr="00390379" w:rsidTr="006B49A7">
        <w:tc>
          <w:tcPr>
            <w:tcW w:w="4644" w:type="dxa"/>
          </w:tcPr>
          <w:p w:rsidR="006B49A7" w:rsidRPr="006B49A7" w:rsidRDefault="006B49A7" w:rsidP="006B49A7">
            <w:pPr>
              <w:jc w:val="both"/>
              <w:rPr>
                <w:b/>
              </w:rPr>
            </w:pPr>
            <w:r w:rsidRPr="006B49A7">
              <w:rPr>
                <w:b/>
              </w:rPr>
              <w:t>Рязанская область</w:t>
            </w:r>
          </w:p>
          <w:p w:rsidR="006B49A7" w:rsidRPr="00390379" w:rsidRDefault="006B49A7" w:rsidP="006B49A7">
            <w:pPr>
              <w:jc w:val="both"/>
            </w:pPr>
            <w:r>
              <w:t>Закон Рязанской области от 03.08.2010 № 79-ОЗ</w:t>
            </w:r>
            <w:r>
              <w:t xml:space="preserve"> </w:t>
            </w:r>
            <w:r>
              <w:t>«О порядке управления и распоряжения государственной собственностью Рязанской области»</w:t>
            </w:r>
          </w:p>
        </w:tc>
        <w:tc>
          <w:tcPr>
            <w:tcW w:w="5184" w:type="dxa"/>
          </w:tcPr>
          <w:p w:rsidR="006B49A7" w:rsidRPr="00390379" w:rsidRDefault="006B49A7" w:rsidP="006B49A7">
            <w:pPr>
              <w:jc w:val="both"/>
            </w:pPr>
            <w:proofErr w:type="gramStart"/>
            <w:r w:rsidRPr="006B49A7">
              <w:t xml:space="preserve">Размер части прибыли, остающейся после уплаты налогов и иных обязательных платежей, подлежащей перечислению в областной бюджет государственными унитарными предприятиями Рязанской области, рассчитывается путем умножения прибыли государственных унитарных предприятий Рязанской области, остающейся после уплаты налогов и иных обязательных платежей, </w:t>
            </w:r>
            <w:r w:rsidRPr="006B49A7">
              <w:rPr>
                <w:b/>
              </w:rPr>
              <w:t>на коэффициент 0,5</w:t>
            </w:r>
            <w:proofErr w:type="gramEnd"/>
          </w:p>
        </w:tc>
      </w:tr>
      <w:tr w:rsidR="006B49A7" w:rsidRPr="00390379" w:rsidTr="006B49A7">
        <w:tc>
          <w:tcPr>
            <w:tcW w:w="4644" w:type="dxa"/>
          </w:tcPr>
          <w:p w:rsidR="006B49A7" w:rsidRPr="006B49A7" w:rsidRDefault="006B49A7" w:rsidP="006B49A7">
            <w:pPr>
              <w:jc w:val="both"/>
              <w:rPr>
                <w:b/>
              </w:rPr>
            </w:pPr>
            <w:r w:rsidRPr="006B49A7">
              <w:rPr>
                <w:b/>
              </w:rPr>
              <w:t>Республика Мордовия</w:t>
            </w:r>
          </w:p>
          <w:p w:rsidR="006B49A7" w:rsidRPr="00390379" w:rsidRDefault="006B49A7" w:rsidP="006B49A7">
            <w:pPr>
              <w:jc w:val="both"/>
            </w:pPr>
            <w:r>
              <w:t>Закон Р</w:t>
            </w:r>
            <w:r>
              <w:t xml:space="preserve">еспублики </w:t>
            </w:r>
            <w:r>
              <w:t>М</w:t>
            </w:r>
            <w:r>
              <w:t>ордовия</w:t>
            </w:r>
            <w:r>
              <w:t xml:space="preserve"> от 22.07.1996 № 25-З</w:t>
            </w:r>
            <w:r>
              <w:t xml:space="preserve"> </w:t>
            </w:r>
            <w:r>
              <w:t>«Об управлении и распоряжении государственной собственностью Республики Мордовия»</w:t>
            </w:r>
          </w:p>
        </w:tc>
        <w:tc>
          <w:tcPr>
            <w:tcW w:w="5184" w:type="dxa"/>
          </w:tcPr>
          <w:p w:rsidR="006B49A7" w:rsidRPr="00390379" w:rsidRDefault="006B49A7" w:rsidP="006B49A7">
            <w:pPr>
              <w:jc w:val="both"/>
            </w:pPr>
            <w:r w:rsidRPr="006B49A7">
              <w:t xml:space="preserve">Часть прибыли, подлежащая перечислению в республиканский бюджет Республики Мордовия, определяется как часть прибыли унитарного предприятия, остающейся в распоряжении предприятия после уплаты налогов и иных обязательных платежей, уменьшенной на сумму </w:t>
            </w:r>
            <w:proofErr w:type="gramStart"/>
            <w:r w:rsidRPr="006B49A7">
              <w:t>расходов</w:t>
            </w:r>
            <w:proofErr w:type="gramEnd"/>
            <w:r w:rsidRPr="006B49A7">
              <w:t xml:space="preserve"> на реализацию мероприятий по развитию унитарного предприятия, утвержденных в составе программы деятельности предприятия на текущий финансовый год, осуществляемых за счет чистой прибыли, </w:t>
            </w:r>
            <w:r w:rsidRPr="006B49A7">
              <w:rPr>
                <w:b/>
              </w:rPr>
              <w:t>но не менее 50 процентов прибыли</w:t>
            </w:r>
            <w:r w:rsidRPr="006B49A7">
              <w:t xml:space="preserve">, остающейся в </w:t>
            </w:r>
            <w:proofErr w:type="gramStart"/>
            <w:r w:rsidRPr="006B49A7">
              <w:t>распоряжении</w:t>
            </w:r>
            <w:proofErr w:type="gramEnd"/>
            <w:r w:rsidRPr="006B49A7">
              <w:t xml:space="preserve"> унитарного предприятия после уплаты налогов и иных обязательных платежей.</w:t>
            </w:r>
          </w:p>
        </w:tc>
      </w:tr>
      <w:tr w:rsidR="006B49A7" w:rsidRPr="00390379" w:rsidTr="006B49A7">
        <w:tc>
          <w:tcPr>
            <w:tcW w:w="4644" w:type="dxa"/>
          </w:tcPr>
          <w:p w:rsidR="006B49A7" w:rsidRPr="006B49A7" w:rsidRDefault="006B49A7" w:rsidP="0008269A">
            <w:pPr>
              <w:jc w:val="both"/>
              <w:rPr>
                <w:b/>
              </w:rPr>
            </w:pPr>
            <w:r w:rsidRPr="006B49A7">
              <w:rPr>
                <w:b/>
              </w:rPr>
              <w:t>Архангельская область</w:t>
            </w:r>
          </w:p>
          <w:p w:rsidR="006B49A7" w:rsidRPr="00390379" w:rsidRDefault="006B49A7" w:rsidP="001A2C47">
            <w:pPr>
              <w:jc w:val="both"/>
            </w:pPr>
            <w:r w:rsidRPr="006B49A7">
              <w:t>Закон Архангельской области от 19.10.2006 N 247-внеоч</w:t>
            </w:r>
            <w:proofErr w:type="gramStart"/>
            <w:r w:rsidRPr="006B49A7">
              <w:t>.-</w:t>
            </w:r>
            <w:proofErr w:type="gramEnd"/>
            <w:r w:rsidRPr="006B49A7">
              <w:t xml:space="preserve">ОЗ </w:t>
            </w:r>
            <w:r w:rsidR="001A2C47">
              <w:t>«</w:t>
            </w:r>
            <w:r w:rsidRPr="006B49A7">
              <w:t>О размере и сроке перечисления части прибыли государственными унитарными предприятиями Архангель</w:t>
            </w:r>
            <w:r w:rsidR="001A2C47">
              <w:t>ской области в областной бюджет»</w:t>
            </w:r>
          </w:p>
        </w:tc>
        <w:tc>
          <w:tcPr>
            <w:tcW w:w="5184" w:type="dxa"/>
          </w:tcPr>
          <w:p w:rsidR="006B49A7" w:rsidRPr="00390379" w:rsidRDefault="006B49A7" w:rsidP="006B49A7">
            <w:pPr>
              <w:jc w:val="both"/>
            </w:pPr>
            <w:r>
              <w:t xml:space="preserve">Государственные унитарные предприятия Архангельской области за использование имущества, находящегося в государственной собственности Архангельской области и закрепленного за ними на праве хозяйственного ведения, ежегодно перечисляют </w:t>
            </w:r>
            <w:r w:rsidRPr="006B49A7">
              <w:rPr>
                <w:b/>
              </w:rPr>
              <w:t>35 процентов от чистой прибыли</w:t>
            </w:r>
            <w:r>
              <w:t>, остающейся в распоряжении государственных унитарных предприятий Архангельской области после уплаты налогов и иных обязательных платежей.</w:t>
            </w:r>
          </w:p>
        </w:tc>
      </w:tr>
      <w:tr w:rsidR="006B49A7" w:rsidRPr="00390379" w:rsidTr="006B49A7">
        <w:tc>
          <w:tcPr>
            <w:tcW w:w="4644" w:type="dxa"/>
          </w:tcPr>
          <w:p w:rsidR="006B49A7" w:rsidRPr="006B49A7" w:rsidRDefault="006B49A7" w:rsidP="0008269A">
            <w:pPr>
              <w:jc w:val="both"/>
              <w:rPr>
                <w:b/>
              </w:rPr>
            </w:pPr>
            <w:r w:rsidRPr="006B49A7">
              <w:rPr>
                <w:b/>
              </w:rPr>
              <w:t>Санкт-Петербург</w:t>
            </w:r>
          </w:p>
          <w:p w:rsidR="006B49A7" w:rsidRPr="00390379" w:rsidRDefault="006B49A7" w:rsidP="006B49A7">
            <w:pPr>
              <w:jc w:val="both"/>
            </w:pPr>
            <w:r w:rsidRPr="006B49A7">
              <w:t xml:space="preserve">Постановление Правительства </w:t>
            </w:r>
            <w:r>
              <w:t>Санкт-Петербурга от 28.04.2009 №</w:t>
            </w:r>
            <w:r w:rsidRPr="006B49A7">
              <w:t xml:space="preserve"> 446 </w:t>
            </w:r>
            <w:r>
              <w:t>«</w:t>
            </w:r>
            <w:r w:rsidRPr="006B49A7">
              <w:t>О размере части прибыли государственных унитарных предприятий Санкт-Петербурга, порядке и сроках ее перечисления в бюджет Санкт-Петербурга</w:t>
            </w:r>
            <w:r>
              <w:t>»</w:t>
            </w:r>
          </w:p>
        </w:tc>
        <w:tc>
          <w:tcPr>
            <w:tcW w:w="5184" w:type="dxa"/>
          </w:tcPr>
          <w:p w:rsidR="006B49A7" w:rsidRPr="00390379" w:rsidRDefault="006B49A7" w:rsidP="00B67DD1">
            <w:pPr>
              <w:jc w:val="both"/>
            </w:pPr>
            <w:r>
              <w:t>Размер части прибыли государственных унитарн</w:t>
            </w:r>
            <w:r w:rsidR="00B67DD1">
              <w:t>ых предприятий Санкт-Петербурга</w:t>
            </w:r>
            <w:r>
              <w:t xml:space="preserve">, остающейся после уплаты налогов и иных обязательных платежей и подлежащей перечислению в бюджет Санкт-Петербурга, составляет </w:t>
            </w:r>
            <w:r w:rsidRPr="006B49A7">
              <w:rPr>
                <w:b/>
              </w:rPr>
              <w:t>25 процентов от чистой прибыли</w:t>
            </w:r>
            <w:r>
              <w:t xml:space="preserve"> предприятий за соответствующий предшествующий год</w:t>
            </w:r>
          </w:p>
        </w:tc>
      </w:tr>
    </w:tbl>
    <w:p w:rsidR="006B49A7" w:rsidRDefault="00B67DD1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большинстве субъектов Российской Федерации размер перечисляемой части прибыли в региональный бюджет колеблется от 25% до 50%. При этом данная прибыль уменьшается только на величину уплаченных</w:t>
      </w:r>
      <w:r w:rsidRPr="00B67DD1">
        <w:rPr>
          <w:sz w:val="28"/>
          <w:szCs w:val="28"/>
        </w:rPr>
        <w:t xml:space="preserve"> налогов и иных обязательных платежей</w:t>
      </w:r>
      <w:r>
        <w:rPr>
          <w:sz w:val="28"/>
          <w:szCs w:val="28"/>
        </w:rPr>
        <w:t>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495C46" w:rsidRDefault="00495C46" w:rsidP="00495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сведениям разработчика акта в</w:t>
      </w:r>
      <w:r w:rsidRPr="00495C46">
        <w:rPr>
          <w:sz w:val="28"/>
          <w:szCs w:val="28"/>
        </w:rPr>
        <w:t>ыбор предлагаемого способа решения проблемы связан с тем, что в соответствии с пунктом 2 статьи 3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  <w:proofErr w:type="gramEnd"/>
    </w:p>
    <w:p w:rsidR="00495C46" w:rsidRDefault="00495C46" w:rsidP="00495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 разработчика акта, основной целью рассматриваемого регулирования является увеличение поступлений в доходную часть областного бюджета Ульяновской области за счёт увеличения размера </w:t>
      </w:r>
      <w:r w:rsidR="00FB0DEB" w:rsidRPr="00FB0DEB">
        <w:rPr>
          <w:sz w:val="28"/>
          <w:szCs w:val="28"/>
        </w:rPr>
        <w:t>отчислений унитарными предприятиями части прибыли, остающейся после уплаты налогов и иных обязательных платежей предприятия</w:t>
      </w:r>
      <w:r w:rsidR="00FB0DEB">
        <w:rPr>
          <w:sz w:val="28"/>
          <w:szCs w:val="28"/>
        </w:rPr>
        <w:t xml:space="preserve"> с 5% до 25%. Однако при этом размер прибыли уменьшается на величину </w:t>
      </w:r>
      <w:r w:rsidR="00FB0DEB" w:rsidRPr="00FB0DEB">
        <w:rPr>
          <w:sz w:val="28"/>
          <w:szCs w:val="28"/>
        </w:rPr>
        <w:t>доходов, полученных в виде субсидий областного бюджета Ульяновской области</w:t>
      </w:r>
      <w:r w:rsidR="00FB0DEB">
        <w:rPr>
          <w:sz w:val="28"/>
          <w:szCs w:val="28"/>
        </w:rPr>
        <w:t xml:space="preserve">. </w:t>
      </w:r>
      <w:proofErr w:type="gramEnd"/>
      <w:r w:rsidR="00FB0DEB">
        <w:rPr>
          <w:sz w:val="28"/>
          <w:szCs w:val="28"/>
        </w:rPr>
        <w:t>Необходимо отметить, что по информации Министерства финансов Ульяновской области все предприятия данной категории субсидируются из областного бюджета Ульяновской области. Тем самым существует определённый риск не увеличения доходной части областного бюджета, а наоборот – рост размера выпадающих доходов. Тем самым заявленная цель регулирования достигаться не будет.</w:t>
      </w:r>
    </w:p>
    <w:p w:rsidR="007E24D0" w:rsidRDefault="00FB0DEB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</w:t>
      </w:r>
      <w:r w:rsidR="00E668CA" w:rsidRPr="00E668C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</w:t>
      </w:r>
      <w:r w:rsidR="00E668CA" w:rsidRPr="00E668CA">
        <w:rPr>
          <w:sz w:val="28"/>
          <w:szCs w:val="28"/>
        </w:rPr>
        <w:t xml:space="preserve"> отказ от принятия рассматриваемого проекта акта, т.е. сохранение ситуации «статус-кво»</w:t>
      </w:r>
      <w:r>
        <w:rPr>
          <w:sz w:val="28"/>
          <w:szCs w:val="28"/>
        </w:rPr>
        <w:t>.</w:t>
      </w:r>
      <w:r w:rsidR="00E668CA" w:rsidRPr="00E6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данный вариант не позволит утвердить порядок </w:t>
      </w:r>
      <w:r w:rsidR="008D3B97">
        <w:rPr>
          <w:sz w:val="28"/>
          <w:szCs w:val="28"/>
        </w:rPr>
        <w:t xml:space="preserve">передачи в аренду объекты областной собственности, находящиеся в </w:t>
      </w:r>
      <w:r w:rsidR="008D3B97" w:rsidRPr="008D3B97">
        <w:rPr>
          <w:sz w:val="28"/>
          <w:szCs w:val="28"/>
        </w:rPr>
        <w:t>неудовлетворительном состоянии</w:t>
      </w:r>
      <w:r w:rsidR="008D3B97">
        <w:rPr>
          <w:sz w:val="28"/>
          <w:szCs w:val="28"/>
        </w:rPr>
        <w:t>, и, тем самым, негативно скажется на эффективности распоряжения государственной собственностью Ульяновской области.</w:t>
      </w:r>
    </w:p>
    <w:p w:rsidR="00E668CA" w:rsidRDefault="00E668CA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</w:t>
      </w:r>
      <w:r w:rsidR="008D3B97">
        <w:rPr>
          <w:sz w:val="28"/>
          <w:szCs w:val="28"/>
        </w:rPr>
        <w:t xml:space="preserve"> с учётом устранения замечаний (минимизации рисков)</w:t>
      </w:r>
      <w:r>
        <w:rPr>
          <w:sz w:val="28"/>
          <w:szCs w:val="28"/>
        </w:rPr>
        <w:t>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DE4" w:rsidRPr="00C13DE4" w:rsidRDefault="00C13DE4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3DE4">
        <w:rPr>
          <w:b/>
          <w:sz w:val="28"/>
          <w:szCs w:val="28"/>
        </w:rPr>
        <w:t>6. Замечания и предложения по проекту акта.</w:t>
      </w:r>
    </w:p>
    <w:p w:rsidR="00C13DE4" w:rsidRDefault="00A20A62" w:rsidP="00A33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C3">
        <w:rPr>
          <w:sz w:val="28"/>
          <w:szCs w:val="28"/>
        </w:rPr>
        <w:t xml:space="preserve">Согласно пункту </w:t>
      </w:r>
      <w:r w:rsidR="00A332C3" w:rsidRPr="00A332C3">
        <w:rPr>
          <w:sz w:val="28"/>
          <w:szCs w:val="28"/>
        </w:rPr>
        <w:t>4</w:t>
      </w:r>
      <w:r w:rsidRPr="00A332C3">
        <w:rPr>
          <w:sz w:val="28"/>
          <w:szCs w:val="28"/>
        </w:rPr>
        <w:t xml:space="preserve"> </w:t>
      </w:r>
      <w:r w:rsidR="00A332C3">
        <w:rPr>
          <w:sz w:val="28"/>
          <w:szCs w:val="28"/>
        </w:rPr>
        <w:t>проекта акта с</w:t>
      </w:r>
      <w:r w:rsidR="00A332C3" w:rsidRPr="00A332C3">
        <w:rPr>
          <w:sz w:val="28"/>
          <w:szCs w:val="28"/>
        </w:rPr>
        <w:t>рок проведения работ по капитальному ремонту не может превышать трёх лет с момента заключения договора аренды</w:t>
      </w:r>
      <w:r w:rsidR="00A332C3">
        <w:rPr>
          <w:sz w:val="28"/>
          <w:szCs w:val="28"/>
        </w:rPr>
        <w:t xml:space="preserve">. Считаем, что данное положение способствует возникновению риска неэффективного использования областной собственности со стороны арендатора, в части эксплуатации данного объекта недвижимости без </w:t>
      </w:r>
      <w:r w:rsidR="00A332C3">
        <w:rPr>
          <w:sz w:val="28"/>
          <w:szCs w:val="28"/>
        </w:rPr>
        <w:lastRenderedPageBreak/>
        <w:t>проведения капитального ремонта. Предлагаем</w:t>
      </w:r>
      <w:r w:rsidR="00FF5CBD">
        <w:rPr>
          <w:sz w:val="28"/>
          <w:szCs w:val="28"/>
        </w:rPr>
        <w:t xml:space="preserve"> разработчику акта</w:t>
      </w:r>
      <w:r w:rsidR="00A332C3">
        <w:rPr>
          <w:sz w:val="28"/>
          <w:szCs w:val="28"/>
        </w:rPr>
        <w:t xml:space="preserve"> рассмотреть возможность включения </w:t>
      </w:r>
      <w:r w:rsidR="00FF5CBD">
        <w:rPr>
          <w:sz w:val="28"/>
          <w:szCs w:val="28"/>
        </w:rPr>
        <w:t xml:space="preserve">в проект акта </w:t>
      </w:r>
      <w:r w:rsidR="00A332C3">
        <w:rPr>
          <w:sz w:val="28"/>
          <w:szCs w:val="28"/>
        </w:rPr>
        <w:t xml:space="preserve">положения о необходимости </w:t>
      </w:r>
      <w:proofErr w:type="gramStart"/>
      <w:r w:rsidR="00A332C3">
        <w:rPr>
          <w:sz w:val="28"/>
          <w:szCs w:val="28"/>
        </w:rPr>
        <w:t>начала проведения капитального ремонта</w:t>
      </w:r>
      <w:r w:rsidR="00FF5CBD">
        <w:rPr>
          <w:sz w:val="28"/>
          <w:szCs w:val="28"/>
        </w:rPr>
        <w:t xml:space="preserve"> объекта недвижимости</w:t>
      </w:r>
      <w:proofErr w:type="gramEnd"/>
      <w:r w:rsidR="00A332C3">
        <w:rPr>
          <w:sz w:val="28"/>
          <w:szCs w:val="28"/>
        </w:rPr>
        <w:t xml:space="preserve"> с начала заключения договора аренды.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C13DE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8D3B97" w:rsidRPr="008D3B97">
        <w:rPr>
          <w:sz w:val="28"/>
          <w:szCs w:val="28"/>
        </w:rPr>
        <w:t>государстве</w:t>
      </w:r>
      <w:r w:rsidR="008D3B97">
        <w:rPr>
          <w:sz w:val="28"/>
          <w:szCs w:val="28"/>
        </w:rPr>
        <w:t>нные органы Ульяновской области, областные государственные унитарные предприятия, юридические и физические лица</w:t>
      </w:r>
      <w:r w:rsidR="00DA0D9F">
        <w:rPr>
          <w:sz w:val="28"/>
          <w:szCs w:val="28"/>
        </w:rPr>
        <w:t>.</w:t>
      </w:r>
    </w:p>
    <w:p w:rsidR="00726748" w:rsidRPr="008F6A8C" w:rsidRDefault="002F257A" w:rsidP="008F6A8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 w:rsidR="008D3B97">
        <w:rPr>
          <w:sz w:val="28"/>
          <w:szCs w:val="28"/>
        </w:rPr>
        <w:t>не представлена.</w:t>
      </w:r>
    </w:p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C13DE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A332C3">
        <w:rPr>
          <w:sz w:val="28"/>
          <w:szCs w:val="28"/>
        </w:rPr>
        <w:t>16</w:t>
      </w:r>
      <w:r w:rsidR="00663245" w:rsidRPr="00663245">
        <w:rPr>
          <w:sz w:val="28"/>
          <w:szCs w:val="28"/>
        </w:rPr>
        <w:t>.0</w:t>
      </w:r>
      <w:r w:rsidR="00A332C3">
        <w:rPr>
          <w:sz w:val="28"/>
          <w:szCs w:val="28"/>
        </w:rPr>
        <w:t>2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 по </w:t>
      </w:r>
      <w:r w:rsidR="00A332C3">
        <w:rPr>
          <w:sz w:val="28"/>
          <w:szCs w:val="28"/>
        </w:rPr>
        <w:t>02</w:t>
      </w:r>
      <w:r w:rsidR="00663245" w:rsidRPr="00663245">
        <w:rPr>
          <w:sz w:val="28"/>
          <w:szCs w:val="28"/>
        </w:rPr>
        <w:t>.0</w:t>
      </w:r>
      <w:r w:rsidR="00663245">
        <w:rPr>
          <w:sz w:val="28"/>
          <w:szCs w:val="28"/>
        </w:rPr>
        <w:t>3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A332C3">
        <w:rPr>
          <w:sz w:val="28"/>
          <w:szCs w:val="28"/>
        </w:rPr>
        <w:t>05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A0D9F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A332C3">
        <w:rPr>
          <w:sz w:val="28"/>
          <w:szCs w:val="28"/>
        </w:rPr>
        <w:t>25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A332C3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C13DE4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A0D9F" w:rsidRDefault="00DA0D9F" w:rsidP="00DA0D9F">
      <w:pPr>
        <w:ind w:firstLine="709"/>
        <w:jc w:val="both"/>
        <w:rPr>
          <w:sz w:val="28"/>
          <w:szCs w:val="28"/>
        </w:rPr>
      </w:pPr>
      <w:r w:rsidRPr="0055061B">
        <w:rPr>
          <w:sz w:val="28"/>
          <w:szCs w:val="28"/>
        </w:rPr>
        <w:t xml:space="preserve">По итогам оценки регулирующего воздействия считаем, что проект акта содержит </w:t>
      </w:r>
      <w:r w:rsidR="008D3B97">
        <w:rPr>
          <w:sz w:val="28"/>
          <w:szCs w:val="28"/>
        </w:rPr>
        <w:t xml:space="preserve">ряд </w:t>
      </w:r>
      <w:r w:rsidRPr="0055061B">
        <w:rPr>
          <w:sz w:val="28"/>
          <w:szCs w:val="28"/>
        </w:rPr>
        <w:t>положений, способствующих возникновению необоснованных расходов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1769D9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079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</w:t>
      </w:r>
      <w:r w:rsidR="00090BF1"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8D3B97" w:rsidRDefault="008D3B97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1769D9">
        <w:rPr>
          <w:sz w:val="20"/>
          <w:szCs w:val="22"/>
        </w:rPr>
        <w:t>4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E0" w:rsidRDefault="003878E0">
      <w:r>
        <w:separator/>
      </w:r>
    </w:p>
  </w:endnote>
  <w:endnote w:type="continuationSeparator" w:id="0">
    <w:p w:rsidR="003878E0" w:rsidRDefault="003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E0" w:rsidRDefault="003878E0">
      <w:r>
        <w:separator/>
      </w:r>
    </w:p>
  </w:footnote>
  <w:footnote w:type="continuationSeparator" w:id="0">
    <w:p w:rsidR="003878E0" w:rsidRDefault="0038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D2D">
      <w:rPr>
        <w:rStyle w:val="a7"/>
        <w:noProof/>
      </w:rPr>
      <w:t>3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769D9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C47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2CD9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264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878E0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5C46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43B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53EE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102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5BE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49A7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23E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B97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73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3AE4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2C3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67DD1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5D2D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0F6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3434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7504"/>
    <w:rsid w:val="00EC0663"/>
    <w:rsid w:val="00EC0AF3"/>
    <w:rsid w:val="00EC3879"/>
    <w:rsid w:val="00EC4516"/>
    <w:rsid w:val="00EC584A"/>
    <w:rsid w:val="00EC5863"/>
    <w:rsid w:val="00EC5B37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0DEB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5CBD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FE5F-E3DE-4226-B011-4CF7D39E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14472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85</cp:revision>
  <cp:lastPrinted>2018-05-30T11:55:00Z</cp:lastPrinted>
  <dcterms:created xsi:type="dcterms:W3CDTF">2017-05-15T07:23:00Z</dcterms:created>
  <dcterms:modified xsi:type="dcterms:W3CDTF">2018-05-30T12:13:00Z</dcterms:modified>
</cp:coreProperties>
</file>