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6E6254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>постановления Правительства Ульяновской области «</w:t>
      </w:r>
      <w:r w:rsidR="006E6254" w:rsidRPr="006E6254">
        <w:rPr>
          <w:b/>
          <w:sz w:val="28"/>
          <w:szCs w:val="28"/>
        </w:rPr>
        <w:t>О внесении изменений в отдельные постановления Правительства Ульяновской области</w:t>
      </w:r>
      <w:r w:rsidR="0012399C" w:rsidRPr="0012399C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6E6254" w:rsidRPr="006E6254">
        <w:rPr>
          <w:sz w:val="28"/>
          <w:szCs w:val="28"/>
        </w:rPr>
        <w:t>О внесении изменений</w:t>
      </w:r>
      <w:proofErr w:type="gramEnd"/>
      <w:r w:rsidR="006E6254" w:rsidRPr="006E6254">
        <w:rPr>
          <w:sz w:val="28"/>
          <w:szCs w:val="28"/>
        </w:rPr>
        <w:t xml:space="preserve"> в отдельные постановления Правительства Ульяновской области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224B8A" w:rsidRDefault="00E42976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</w:t>
      </w:r>
      <w:r w:rsidR="00224B8A">
        <w:rPr>
          <w:sz w:val="28"/>
          <w:szCs w:val="28"/>
        </w:rPr>
        <w:t xml:space="preserve">целях </w:t>
      </w:r>
      <w:proofErr w:type="gramStart"/>
      <w:r w:rsidR="00224B8A">
        <w:rPr>
          <w:sz w:val="28"/>
          <w:szCs w:val="28"/>
        </w:rPr>
        <w:t>совершенствования региональных порядков предоставления мер государственной поддержки</w:t>
      </w:r>
      <w:proofErr w:type="gramEnd"/>
      <w:r w:rsidR="00224B8A">
        <w:rPr>
          <w:sz w:val="28"/>
          <w:szCs w:val="28"/>
        </w:rPr>
        <w:t xml:space="preserve"> в сфере сельскохозяйственного производства в части </w:t>
      </w:r>
      <w:r w:rsidR="00224B8A" w:rsidRPr="00224B8A">
        <w:rPr>
          <w:sz w:val="28"/>
          <w:szCs w:val="28"/>
        </w:rPr>
        <w:t>предоставление грантов в форме субсидий начинающим фермерам и на развитие семейных животноводческих ферм</w:t>
      </w:r>
      <w:r w:rsidR="00224B8A">
        <w:rPr>
          <w:sz w:val="28"/>
          <w:szCs w:val="28"/>
        </w:rPr>
        <w:t>.</w:t>
      </w:r>
    </w:p>
    <w:p w:rsidR="00224B8A" w:rsidRDefault="00224B8A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акта вносятся изменения в следующие нормативные правовые акты Ульяновской области:</w:t>
      </w:r>
    </w:p>
    <w:p w:rsidR="00224B8A" w:rsidRPr="00224B8A" w:rsidRDefault="00224B8A" w:rsidP="00224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4B8A">
        <w:rPr>
          <w:sz w:val="28"/>
          <w:szCs w:val="28"/>
        </w:rPr>
        <w:t>постановление Правительства Ульяновской области от 20.05.2014 №188-П «О Порядке предоставления из областного бюджета Ульяновской области грантов в форме субсидий главам крестьянских (фермерских) хозяйств на развитие семейных животноводческих ферм на базе крестьянских (фермерских) хозяйств»;</w:t>
      </w:r>
    </w:p>
    <w:p w:rsidR="00224B8A" w:rsidRDefault="00224B8A" w:rsidP="00224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4B8A">
        <w:rPr>
          <w:sz w:val="28"/>
          <w:szCs w:val="28"/>
        </w:rPr>
        <w:t>постановлени</w:t>
      </w:r>
      <w:r w:rsidR="00291591">
        <w:rPr>
          <w:sz w:val="28"/>
          <w:szCs w:val="28"/>
        </w:rPr>
        <w:t>е</w:t>
      </w:r>
      <w:r w:rsidRPr="00224B8A">
        <w:rPr>
          <w:sz w:val="28"/>
          <w:szCs w:val="28"/>
        </w:rPr>
        <w:t xml:space="preserve"> Правительства Ульяновской области от 20.05.2014 №189-П «О Порядке предоставления из областного бюджета Ульяновской области грантов в форме субсидий на поддержку начинающих фермеров».</w:t>
      </w:r>
    </w:p>
    <w:p w:rsidR="00224B8A" w:rsidRDefault="00224B8A" w:rsidP="00224B8A">
      <w:pPr>
        <w:ind w:firstLine="720"/>
        <w:jc w:val="both"/>
        <w:rPr>
          <w:sz w:val="28"/>
          <w:szCs w:val="28"/>
        </w:rPr>
      </w:pPr>
      <w:proofErr w:type="gramStart"/>
      <w:r w:rsidRPr="00224B8A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акта</w:t>
      </w:r>
      <w:r w:rsidRPr="00224B8A">
        <w:rPr>
          <w:sz w:val="28"/>
          <w:szCs w:val="28"/>
        </w:rPr>
        <w:t xml:space="preserve"> </w:t>
      </w:r>
      <w:r>
        <w:rPr>
          <w:sz w:val="28"/>
          <w:szCs w:val="28"/>
        </w:rPr>
        <w:t>вносятся</w:t>
      </w:r>
      <w:r w:rsidRPr="00224B8A">
        <w:rPr>
          <w:sz w:val="28"/>
          <w:szCs w:val="28"/>
        </w:rPr>
        <w:t xml:space="preserve"> изменения в части дополнения условиями, связанными с проведением конкурсного отбора в случае доведения до Министерства</w:t>
      </w:r>
      <w:r>
        <w:rPr>
          <w:sz w:val="28"/>
          <w:szCs w:val="28"/>
        </w:rPr>
        <w:t xml:space="preserve"> </w:t>
      </w:r>
      <w:r w:rsidRPr="00F26777">
        <w:rPr>
          <w:sz w:val="28"/>
          <w:szCs w:val="28"/>
        </w:rPr>
        <w:t>сельского, лесного хозяйства и природных ресурсов Ульяновской области</w:t>
      </w:r>
      <w:r w:rsidRPr="00224B8A">
        <w:rPr>
          <w:sz w:val="28"/>
          <w:szCs w:val="28"/>
        </w:rPr>
        <w:t xml:space="preserve"> дополнительных лимитов бюджетных обязател</w:t>
      </w:r>
      <w:r>
        <w:rPr>
          <w:sz w:val="28"/>
          <w:szCs w:val="28"/>
        </w:rPr>
        <w:t xml:space="preserve">ьств в текущем финансовом году, уточняются </w:t>
      </w:r>
      <w:r w:rsidRPr="00224B8A">
        <w:rPr>
          <w:sz w:val="28"/>
          <w:szCs w:val="28"/>
        </w:rPr>
        <w:t>критерии конкурсного отбора крестьянских фермерских хозяйств, перечень документов для участия в конкурсном отборе, порядок и условия проведения конкурсного отбора, требования к условиям соглашения о предоставлении</w:t>
      </w:r>
      <w:proofErr w:type="gramEnd"/>
      <w:r w:rsidRPr="00224B8A">
        <w:rPr>
          <w:sz w:val="28"/>
          <w:szCs w:val="28"/>
        </w:rPr>
        <w:t xml:space="preserve"> гранта и основания для возврата гранта.</w:t>
      </w:r>
    </w:p>
    <w:p w:rsidR="00FF731A" w:rsidRDefault="00FF731A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FF731A">
        <w:rPr>
          <w:sz w:val="28"/>
          <w:szCs w:val="28"/>
        </w:rPr>
        <w:t xml:space="preserve"> проектом </w:t>
      </w:r>
      <w:r w:rsidR="00331CAC">
        <w:rPr>
          <w:sz w:val="28"/>
          <w:szCs w:val="28"/>
        </w:rPr>
        <w:t>акта вносятся изменения технического характера</w:t>
      </w:r>
      <w:r>
        <w:rPr>
          <w:sz w:val="28"/>
          <w:szCs w:val="28"/>
        </w:rPr>
        <w:t>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E42976">
        <w:rPr>
          <w:sz w:val="28"/>
          <w:szCs w:val="28"/>
        </w:rPr>
        <w:t xml:space="preserve">создание благоприятных условий для развития </w:t>
      </w:r>
      <w:r w:rsidR="00224B8A">
        <w:rPr>
          <w:sz w:val="28"/>
          <w:szCs w:val="28"/>
        </w:rPr>
        <w:t>сельскохозяйственной</w:t>
      </w:r>
      <w:r w:rsidR="008E7838" w:rsidRPr="008E7838">
        <w:rPr>
          <w:sz w:val="28"/>
          <w:szCs w:val="28"/>
        </w:rPr>
        <w:t xml:space="preserve"> </w:t>
      </w:r>
      <w:r w:rsidR="00224B8A">
        <w:rPr>
          <w:sz w:val="28"/>
          <w:szCs w:val="28"/>
        </w:rPr>
        <w:t>отрасли</w:t>
      </w:r>
      <w:r w:rsidR="008E7838">
        <w:rPr>
          <w:sz w:val="28"/>
          <w:szCs w:val="28"/>
        </w:rPr>
        <w:t xml:space="preserve"> </w:t>
      </w:r>
      <w:r w:rsidR="00A72F89">
        <w:rPr>
          <w:sz w:val="28"/>
          <w:szCs w:val="28"/>
        </w:rPr>
        <w:t>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91591" w:rsidRDefault="00291591" w:rsidP="002915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91591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 время в</w:t>
      </w:r>
      <w:r w:rsidRPr="00291591">
        <w:rPr>
          <w:sz w:val="28"/>
          <w:szCs w:val="28"/>
        </w:rPr>
        <w:t xml:space="preserve"> нормативных правовых актах Правительства Ульяновской области, регулирующих предоставление грантов в форме субсидий начинающим фермерам и на развитие семейных животноводческих ферм, отсутствует правовое регулирование порядка предоставления грантов в случае доведения до Министерства </w:t>
      </w:r>
      <w:r w:rsidRPr="00F26777">
        <w:rPr>
          <w:sz w:val="28"/>
          <w:szCs w:val="28"/>
        </w:rPr>
        <w:t>сельского, лесного хозяйства и природных ресурсов Ульяновской области</w:t>
      </w:r>
      <w:r w:rsidRPr="00224B8A">
        <w:rPr>
          <w:sz w:val="28"/>
          <w:szCs w:val="28"/>
        </w:rPr>
        <w:t xml:space="preserve"> </w:t>
      </w:r>
      <w:r w:rsidRPr="00291591">
        <w:rPr>
          <w:sz w:val="28"/>
          <w:szCs w:val="28"/>
        </w:rPr>
        <w:t xml:space="preserve">дополнительных лимитов бюджетных обязательств на предоставление грантов. </w:t>
      </w:r>
      <w:proofErr w:type="gramEnd"/>
      <w:r>
        <w:rPr>
          <w:sz w:val="28"/>
          <w:szCs w:val="28"/>
        </w:rPr>
        <w:t xml:space="preserve">При этом </w:t>
      </w:r>
      <w:r w:rsidRPr="00291591">
        <w:rPr>
          <w:sz w:val="28"/>
          <w:szCs w:val="28"/>
        </w:rPr>
        <w:t xml:space="preserve">18 августа 2017 года Правительством Ульяновской области заключено дополнительное соглашение с Министерством сельского хозяйства Российской Федерации, предусматривающее предоставление Ульяновской области в 2017 году дополнительных бюджетных ассигнований, в том числе на </w:t>
      </w:r>
      <w:proofErr w:type="spellStart"/>
      <w:r w:rsidRPr="00291591">
        <w:rPr>
          <w:sz w:val="28"/>
          <w:szCs w:val="28"/>
        </w:rPr>
        <w:t>грантовую</w:t>
      </w:r>
      <w:proofErr w:type="spellEnd"/>
      <w:r w:rsidRPr="00291591">
        <w:rPr>
          <w:sz w:val="28"/>
          <w:szCs w:val="28"/>
        </w:rPr>
        <w:t xml:space="preserve"> поддержку фермерам, в рамках «единой субсидии». </w:t>
      </w:r>
    </w:p>
    <w:p w:rsidR="00291591" w:rsidRDefault="00291591" w:rsidP="002915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1591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данного </w:t>
      </w:r>
      <w:r w:rsidRPr="00291591">
        <w:rPr>
          <w:sz w:val="28"/>
          <w:szCs w:val="28"/>
        </w:rPr>
        <w:t xml:space="preserve">правового регулирования не позволит Ульяновской области предоставить гранты начинающим фермерам и на развитие семейных животноводческих ферм, так как </w:t>
      </w:r>
      <w:r>
        <w:rPr>
          <w:sz w:val="28"/>
          <w:szCs w:val="28"/>
        </w:rPr>
        <w:t xml:space="preserve">в региональных порядках предоставления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указанные </w:t>
      </w:r>
      <w:r w:rsidRPr="00291591">
        <w:rPr>
          <w:sz w:val="28"/>
          <w:szCs w:val="28"/>
        </w:rPr>
        <w:t>сроки проведения конкурсного отбора уже истекли.</w:t>
      </w:r>
    </w:p>
    <w:p w:rsidR="007E6C45" w:rsidRDefault="00291591" w:rsidP="0029159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Кроме того, </w:t>
      </w:r>
      <w:r w:rsidRPr="00291591">
        <w:rPr>
          <w:sz w:val="28"/>
          <w:szCs w:val="28"/>
        </w:rPr>
        <w:t xml:space="preserve">требуется </w:t>
      </w:r>
      <w:r>
        <w:rPr>
          <w:sz w:val="28"/>
          <w:szCs w:val="28"/>
        </w:rPr>
        <w:t xml:space="preserve">определённая </w:t>
      </w:r>
      <w:r w:rsidRPr="00291591">
        <w:rPr>
          <w:sz w:val="28"/>
          <w:szCs w:val="28"/>
        </w:rPr>
        <w:t xml:space="preserve">доработка отдельных положений </w:t>
      </w:r>
      <w:r>
        <w:rPr>
          <w:sz w:val="28"/>
          <w:szCs w:val="28"/>
        </w:rPr>
        <w:t>постановления</w:t>
      </w:r>
      <w:r w:rsidRPr="00224B8A">
        <w:rPr>
          <w:sz w:val="28"/>
          <w:szCs w:val="28"/>
        </w:rPr>
        <w:t xml:space="preserve"> Правительства Ульяновской области от 20.05.2014 №188-П </w:t>
      </w:r>
      <w:r>
        <w:rPr>
          <w:sz w:val="28"/>
          <w:szCs w:val="28"/>
        </w:rPr>
        <w:br/>
      </w:r>
      <w:r w:rsidRPr="00224B8A">
        <w:rPr>
          <w:sz w:val="28"/>
          <w:szCs w:val="28"/>
        </w:rPr>
        <w:t>«О Порядке предоставления из областного бюджета Ульяновской области грантов в форме субсидий главам крестьянских (фермерских) хозяйств на развитие семейных животноводческих ферм на базе крестьянских (фермерских) хозяйств»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224B8A">
        <w:rPr>
          <w:sz w:val="28"/>
          <w:szCs w:val="28"/>
        </w:rPr>
        <w:t>постановления Правительства Ульяновской области от 20.05.2014 №189-П «О Порядке предоставления из областного бюджета Ульяновской области грантов в форме субсидий</w:t>
      </w:r>
      <w:proofErr w:type="gramEnd"/>
      <w:r w:rsidRPr="00224B8A">
        <w:rPr>
          <w:sz w:val="28"/>
          <w:szCs w:val="28"/>
        </w:rPr>
        <w:t xml:space="preserve"> на поддержку начинающих фермеров»</w:t>
      </w:r>
      <w:r>
        <w:rPr>
          <w:sz w:val="28"/>
          <w:szCs w:val="28"/>
        </w:rPr>
        <w:t>.</w:t>
      </w:r>
      <w:r w:rsidRPr="00291591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</w:t>
      </w:r>
      <w:r w:rsidRPr="00291591">
        <w:rPr>
          <w:sz w:val="28"/>
          <w:szCs w:val="28"/>
        </w:rPr>
        <w:t xml:space="preserve"> </w:t>
      </w:r>
      <w:proofErr w:type="spellStart"/>
      <w:r w:rsidRPr="00291591"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данных нормативных правовых актов было установлено наличие</w:t>
      </w:r>
      <w:r w:rsidRPr="00291591">
        <w:rPr>
          <w:sz w:val="28"/>
          <w:szCs w:val="28"/>
        </w:rPr>
        <w:t xml:space="preserve"> правовых пробелов в части отдельных направлений </w:t>
      </w:r>
      <w:proofErr w:type="spellStart"/>
      <w:r w:rsidRPr="00291591">
        <w:rPr>
          <w:sz w:val="28"/>
          <w:szCs w:val="28"/>
        </w:rPr>
        <w:t>грантовой</w:t>
      </w:r>
      <w:proofErr w:type="spellEnd"/>
      <w:r w:rsidRPr="00291591">
        <w:rPr>
          <w:sz w:val="28"/>
          <w:szCs w:val="28"/>
        </w:rPr>
        <w:t xml:space="preserve"> поддержки, условий проведения конкурсного отбора, требований к условиям соглашения о предоставлении гранта и оснований для возврата гранта</w:t>
      </w:r>
      <w:r w:rsidR="00C63672">
        <w:rPr>
          <w:sz w:val="28"/>
          <w:szCs w:val="28"/>
        </w:rPr>
        <w:t>, которые могут</w:t>
      </w:r>
      <w:r w:rsidRPr="00291591">
        <w:rPr>
          <w:sz w:val="28"/>
          <w:szCs w:val="28"/>
        </w:rPr>
        <w:t xml:space="preserve"> привести к препятствиям правового характера </w:t>
      </w:r>
      <w:proofErr w:type="gramStart"/>
      <w:r w:rsidRPr="00291591">
        <w:rPr>
          <w:sz w:val="28"/>
          <w:szCs w:val="28"/>
        </w:rPr>
        <w:t>при</w:t>
      </w:r>
      <w:proofErr w:type="gramEnd"/>
      <w:r w:rsidRPr="00291591">
        <w:rPr>
          <w:sz w:val="28"/>
          <w:szCs w:val="28"/>
        </w:rPr>
        <w:t xml:space="preserve"> их </w:t>
      </w:r>
      <w:proofErr w:type="spellStart"/>
      <w:r w:rsidRPr="00291591">
        <w:rPr>
          <w:sz w:val="28"/>
          <w:szCs w:val="28"/>
        </w:rPr>
        <w:t>правоприменении</w:t>
      </w:r>
      <w:proofErr w:type="spellEnd"/>
      <w:r w:rsidRPr="00291591">
        <w:rPr>
          <w:sz w:val="28"/>
          <w:szCs w:val="28"/>
        </w:rPr>
        <w:t>, а также неэффективному предоставлению бюджетных средств.</w:t>
      </w:r>
    </w:p>
    <w:p w:rsidR="00291591" w:rsidRDefault="00C63672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проекта акта направлено на решение проблемы правовой неопределённости.</w:t>
      </w:r>
    </w:p>
    <w:p w:rsidR="00291591" w:rsidRDefault="00291591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Цели рассматриваемого регулирования представлены</w:t>
      </w:r>
      <w:r w:rsidR="00963F53">
        <w:rPr>
          <w:sz w:val="28"/>
        </w:rPr>
        <w:t xml:space="preserve"> разработчиком акта</w:t>
      </w:r>
      <w:r>
        <w:rPr>
          <w:sz w:val="28"/>
        </w:rPr>
        <w:t xml:space="preserve"> в таблице ниже:</w:t>
      </w: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5C5E56" w:rsidTr="005C5E56">
        <w:tc>
          <w:tcPr>
            <w:tcW w:w="421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269FF" w:rsidRPr="00A83504" w:rsidTr="00486803">
        <w:tc>
          <w:tcPr>
            <w:tcW w:w="4219" w:type="dxa"/>
          </w:tcPr>
          <w:p w:rsidR="00963F53" w:rsidRPr="00963F53" w:rsidRDefault="00963F53" w:rsidP="00963F53">
            <w:pPr>
              <w:jc w:val="both"/>
              <w:rPr>
                <w:sz w:val="22"/>
                <w:szCs w:val="22"/>
              </w:rPr>
            </w:pPr>
            <w:r w:rsidRPr="00963F53">
              <w:rPr>
                <w:sz w:val="22"/>
                <w:szCs w:val="22"/>
              </w:rPr>
              <w:t>Правовое регулирование случая доведения до Министерства дополнительных лимитов бюджетных обязательств необходимо для предоставления дополнительных грантов в 2017 году.</w:t>
            </w:r>
          </w:p>
          <w:p w:rsidR="005269FF" w:rsidRPr="00286C41" w:rsidRDefault="00963F53" w:rsidP="00963F53">
            <w:pPr>
              <w:jc w:val="both"/>
              <w:rPr>
                <w:sz w:val="22"/>
                <w:szCs w:val="22"/>
              </w:rPr>
            </w:pPr>
            <w:r w:rsidRPr="00963F53">
              <w:rPr>
                <w:sz w:val="22"/>
                <w:szCs w:val="22"/>
              </w:rPr>
              <w:t xml:space="preserve">Кроме того, устранение правовых пробелов в части отдельных направлений </w:t>
            </w:r>
            <w:proofErr w:type="spellStart"/>
            <w:r w:rsidRPr="00963F53">
              <w:rPr>
                <w:sz w:val="22"/>
                <w:szCs w:val="22"/>
              </w:rPr>
              <w:t>грантовой</w:t>
            </w:r>
            <w:proofErr w:type="spellEnd"/>
            <w:r w:rsidRPr="00963F53">
              <w:rPr>
                <w:sz w:val="22"/>
                <w:szCs w:val="22"/>
              </w:rPr>
              <w:t xml:space="preserve"> поддержки, условий проведения конкурсного отбора, требований к условиям соглашения о предоставлении гранта и оснований для возврата гранта необходимо для эффективного предоставления бюджетных средств.</w:t>
            </w:r>
          </w:p>
        </w:tc>
        <w:tc>
          <w:tcPr>
            <w:tcW w:w="2126" w:type="dxa"/>
          </w:tcPr>
          <w:p w:rsidR="005269FF" w:rsidRPr="00EF6897" w:rsidRDefault="00963F53" w:rsidP="00681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  <w:r w:rsidR="005269FF" w:rsidRPr="00EF6897">
              <w:rPr>
                <w:sz w:val="22"/>
                <w:szCs w:val="22"/>
              </w:rPr>
              <w:t>2017 год</w:t>
            </w:r>
          </w:p>
        </w:tc>
        <w:tc>
          <w:tcPr>
            <w:tcW w:w="3226" w:type="dxa"/>
          </w:tcPr>
          <w:p w:rsidR="005269FF" w:rsidRPr="00EF6897" w:rsidRDefault="00681E4E" w:rsidP="00681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681E4E">
        <w:rPr>
          <w:sz w:val="28"/>
        </w:rPr>
        <w:t xml:space="preserve">принятие проекта </w:t>
      </w:r>
      <w:r w:rsidR="00963F53">
        <w:rPr>
          <w:sz w:val="28"/>
        </w:rPr>
        <w:t xml:space="preserve">направлено на </w:t>
      </w:r>
      <w:r w:rsidR="00963F53" w:rsidRPr="00963F53">
        <w:rPr>
          <w:sz w:val="28"/>
        </w:rPr>
        <w:t>совершенствовани</w:t>
      </w:r>
      <w:r w:rsidR="00963F53">
        <w:rPr>
          <w:sz w:val="28"/>
        </w:rPr>
        <w:t>е</w:t>
      </w:r>
      <w:r w:rsidR="00963F53" w:rsidRPr="00963F53">
        <w:rPr>
          <w:sz w:val="28"/>
        </w:rPr>
        <w:t xml:space="preserve"> региональных порядков предоставления грантов в форме субсидий начинающим фермерам и на развитие семейных животноводческих ферм</w:t>
      </w:r>
      <w:r w:rsidR="00963F53">
        <w:rPr>
          <w:sz w:val="28"/>
        </w:rPr>
        <w:t xml:space="preserve"> на территории Ульяновской области</w:t>
      </w:r>
      <w:r w:rsidR="00963F53" w:rsidRPr="00963F53">
        <w:rPr>
          <w:sz w:val="28"/>
        </w:rPr>
        <w:t>.</w:t>
      </w: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451999" w:rsidRDefault="00451999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proofErr w:type="gramStart"/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аналогичные порядки предоставления мер государственной поддержки в сельскохозяйственной отрасли применяются в ряде субъектов </w:t>
      </w:r>
      <w:r w:rsidR="00A605F8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Федерации. Так, например:</w:t>
      </w:r>
    </w:p>
    <w:p w:rsidR="00451999" w:rsidRPr="00451999" w:rsidRDefault="00451999" w:rsidP="00451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1999">
        <w:rPr>
          <w:sz w:val="28"/>
          <w:szCs w:val="28"/>
        </w:rPr>
        <w:t xml:space="preserve"> постановление администрации Липецкой области от 11.01.2017 № 12 «Об утверждении Порядков предоставления субсидий в области сельского хозяйства в 2017 году»;</w:t>
      </w:r>
    </w:p>
    <w:p w:rsidR="00451999" w:rsidRPr="00451999" w:rsidRDefault="00451999" w:rsidP="00451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1999">
        <w:rPr>
          <w:sz w:val="28"/>
          <w:szCs w:val="28"/>
        </w:rPr>
        <w:t xml:space="preserve"> Порядок предоставления начинающим фермерам государственной поддержки в форме гранта на создание и развитие крестьянского (фермерского) хозяйства, утверждённый постановлением Кабинета Министров Чувашской Республики от 08.02.2017 № 44 «Об утверждении Правил предоставления субсидий из республиканского бюджета Чувашской Республики на содействие достижению целевых показателей»;</w:t>
      </w:r>
    </w:p>
    <w:p w:rsidR="00451999" w:rsidRPr="00451999" w:rsidRDefault="00451999" w:rsidP="00451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51999">
        <w:rPr>
          <w:sz w:val="28"/>
          <w:szCs w:val="28"/>
        </w:rPr>
        <w:t xml:space="preserve"> Порядок предоставления из областного бюджета грантов на создание и развитие крестьянского (фермерского) хозяйства и на единовременную помощь на бытовое обустройство начинающим фермерам, предусмотренный приложением № 1 к подпрограмме «Поддержка сельскохозяйственной деятельности малых форм хозяйствования и создание условий для их развития» государственной программы Омской области «Развитие сельского хозяйства и регулирование рынков сельскохозяйственной продукции, сырья и продовольствия Омской области», утверждённой постановлением Правительства Омской</w:t>
      </w:r>
      <w:proofErr w:type="gramEnd"/>
      <w:r w:rsidRPr="00451999">
        <w:rPr>
          <w:sz w:val="28"/>
          <w:szCs w:val="28"/>
        </w:rPr>
        <w:t xml:space="preserve"> области от 15.10.2013 № 252-п;</w:t>
      </w:r>
    </w:p>
    <w:p w:rsidR="00451999" w:rsidRDefault="00451999" w:rsidP="00451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1999">
        <w:rPr>
          <w:sz w:val="28"/>
          <w:szCs w:val="28"/>
        </w:rPr>
        <w:t xml:space="preserve"> постановление Администрации Псковской области от 15.06.2012 № 296 «О порядке предоставления из областного бюджета грантов на развитие семейной животноводческой фермы главам крестьянских (фермерских) хозяйств (в ред. от 14.02.2017 № 67).</w:t>
      </w:r>
    </w:p>
    <w:p w:rsidR="008911F8" w:rsidRPr="00050053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2A5050" w:rsidRPr="002A5050" w:rsidRDefault="002A5050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 п</w:t>
      </w:r>
      <w:r w:rsidRPr="002A5050">
        <w:rPr>
          <w:sz w:val="28"/>
          <w:szCs w:val="28"/>
        </w:rPr>
        <w:t>ри</w:t>
      </w:r>
      <w:r>
        <w:rPr>
          <w:sz w:val="28"/>
          <w:szCs w:val="28"/>
        </w:rPr>
        <w:t>нятие проекта акта позволит привлечь дополнительное финансирование на предоставление мер государственной поддержки по следующим направлениям:</w:t>
      </w:r>
    </w:p>
    <w:p w:rsidR="002A5050" w:rsidRPr="002A5050" w:rsidRDefault="002A5050" w:rsidP="002A5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050">
        <w:rPr>
          <w:sz w:val="28"/>
          <w:szCs w:val="28"/>
        </w:rPr>
        <w:t>1) на поддержку начинающих фермеров:</w:t>
      </w:r>
    </w:p>
    <w:p w:rsidR="002A5050" w:rsidRPr="002A5050" w:rsidRDefault="002A5050" w:rsidP="002A5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050">
        <w:rPr>
          <w:sz w:val="28"/>
          <w:szCs w:val="28"/>
        </w:rPr>
        <w:t>из федерального бюджета – 10 540,7 тыс. рублей;</w:t>
      </w:r>
    </w:p>
    <w:p w:rsidR="002A5050" w:rsidRPr="002A5050" w:rsidRDefault="002A5050" w:rsidP="002A5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050">
        <w:rPr>
          <w:sz w:val="28"/>
          <w:szCs w:val="28"/>
        </w:rPr>
        <w:t>из областного бюджета Ульяновской области – 2 211,554 тыс. рублей;</w:t>
      </w:r>
    </w:p>
    <w:p w:rsidR="002A5050" w:rsidRPr="002A5050" w:rsidRDefault="002A5050" w:rsidP="002A5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050">
        <w:rPr>
          <w:sz w:val="28"/>
          <w:szCs w:val="28"/>
        </w:rPr>
        <w:t>2) на развитие семейных животноводческих ферм:</w:t>
      </w:r>
    </w:p>
    <w:p w:rsidR="002A5050" w:rsidRPr="002A5050" w:rsidRDefault="002A5050" w:rsidP="002A5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050">
        <w:rPr>
          <w:sz w:val="28"/>
          <w:szCs w:val="28"/>
        </w:rPr>
        <w:t>из федерального бюджета – 11 000,0 тыс. рублей;</w:t>
      </w:r>
    </w:p>
    <w:p w:rsidR="002A5050" w:rsidRDefault="002A5050" w:rsidP="002A5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050">
        <w:rPr>
          <w:sz w:val="28"/>
          <w:szCs w:val="28"/>
        </w:rPr>
        <w:t>из областного бюджета Ульяновской области – 2 307,92 тыс. рублей.</w:t>
      </w:r>
    </w:p>
    <w:p w:rsidR="005B76EA" w:rsidRDefault="005B76EA" w:rsidP="002A50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Тем самым реализация указанных мер государственной поддержки будет способствовать созданию благоприятных условий для развития отрасли сельского хозяйства на территории Ульяновской области.</w:t>
      </w:r>
    </w:p>
    <w:p w:rsidR="005B76EA" w:rsidRPr="005B76EA" w:rsidRDefault="007D361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6EA">
        <w:rPr>
          <w:sz w:val="28"/>
          <w:szCs w:val="28"/>
        </w:rPr>
        <w:t>Альтернативным вариантом решения проблемы является о</w:t>
      </w:r>
      <w:r w:rsidR="001C68F9" w:rsidRPr="005B76EA">
        <w:rPr>
          <w:sz w:val="28"/>
          <w:szCs w:val="28"/>
        </w:rPr>
        <w:t>тказ от рассматриваемого регулирования, т.е. сохранение ситуации «статус-кво»</w:t>
      </w:r>
      <w:r w:rsidRPr="005B76EA">
        <w:rPr>
          <w:sz w:val="28"/>
          <w:szCs w:val="28"/>
        </w:rPr>
        <w:t xml:space="preserve">. Однако данный вариант </w:t>
      </w:r>
      <w:r w:rsidR="00D10871">
        <w:rPr>
          <w:sz w:val="28"/>
          <w:szCs w:val="28"/>
        </w:rPr>
        <w:t>решения проблемы</w:t>
      </w:r>
      <w:bookmarkStart w:id="0" w:name="_GoBack"/>
      <w:bookmarkEnd w:id="0"/>
      <w:r w:rsidR="00D10871">
        <w:rPr>
          <w:sz w:val="28"/>
          <w:szCs w:val="28"/>
        </w:rPr>
        <w:t xml:space="preserve"> </w:t>
      </w:r>
      <w:r w:rsidRPr="005B76EA">
        <w:rPr>
          <w:sz w:val="28"/>
          <w:szCs w:val="28"/>
        </w:rPr>
        <w:t xml:space="preserve">не позволит </w:t>
      </w:r>
      <w:r w:rsidR="005B76EA" w:rsidRPr="005B76EA">
        <w:rPr>
          <w:sz w:val="28"/>
          <w:szCs w:val="28"/>
        </w:rPr>
        <w:t xml:space="preserve">устранить правовую неопределённость в региональных порядках предоставления </w:t>
      </w:r>
      <w:proofErr w:type="spellStart"/>
      <w:r w:rsidR="005B76EA" w:rsidRPr="005B76EA">
        <w:rPr>
          <w:sz w:val="28"/>
          <w:szCs w:val="28"/>
        </w:rPr>
        <w:t>грантовой</w:t>
      </w:r>
      <w:proofErr w:type="spellEnd"/>
      <w:r w:rsidR="005B76EA" w:rsidRPr="005B76EA">
        <w:rPr>
          <w:sz w:val="28"/>
          <w:szCs w:val="28"/>
        </w:rPr>
        <w:t xml:space="preserve"> </w:t>
      </w:r>
      <w:r w:rsidR="005B76EA" w:rsidRPr="005B76EA">
        <w:rPr>
          <w:sz w:val="28"/>
          <w:szCs w:val="28"/>
        </w:rPr>
        <w:lastRenderedPageBreak/>
        <w:t>поддержки и, соответственно, привлечь дополнительные финансовые ресурсы на реализацию указанных выше мер государственной поддержки.</w:t>
      </w:r>
    </w:p>
    <w:p w:rsidR="007D3618" w:rsidRDefault="007D361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6EA">
        <w:rPr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регулирования.</w:t>
      </w: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 </w:t>
      </w:r>
      <w:r w:rsidR="0062724F">
        <w:rPr>
          <w:sz w:val="28"/>
          <w:szCs w:val="28"/>
        </w:rPr>
        <w:t>и</w:t>
      </w:r>
      <w:r w:rsidR="0062724F" w:rsidRPr="0062724F">
        <w:rPr>
          <w:sz w:val="28"/>
          <w:szCs w:val="28"/>
        </w:rPr>
        <w:t>ндивидуальные предприниматели, являющиеся главами крестьянских (фермерских) хозяйств, крестьянские (фермерские) хозяйства</w:t>
      </w:r>
      <w:r w:rsidR="0062724F">
        <w:rPr>
          <w:sz w:val="28"/>
          <w:szCs w:val="28"/>
        </w:rPr>
        <w:t>, осуществляющие деятельность на территории Ульяновской области.</w:t>
      </w:r>
    </w:p>
    <w:p w:rsidR="00A4237D" w:rsidRPr="00431DFA" w:rsidRDefault="00A4237D" w:rsidP="0062724F">
      <w:pPr>
        <w:tabs>
          <w:tab w:val="left" w:pos="993"/>
        </w:tabs>
        <w:suppressAutoHyphens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Количественная оценка адресатов регулирования </w:t>
      </w:r>
      <w:r w:rsidR="0062724F">
        <w:rPr>
          <w:rFonts w:eastAsia="Calibri"/>
          <w:color w:val="000000"/>
          <w:sz w:val="28"/>
          <w:szCs w:val="28"/>
        </w:rPr>
        <w:t>разработчиком акта не представлена.</w:t>
      </w:r>
    </w:p>
    <w:p w:rsidR="008911F8" w:rsidRPr="0058376C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62724F">
        <w:rPr>
          <w:sz w:val="28"/>
          <w:szCs w:val="28"/>
        </w:rPr>
        <w:t>07</w:t>
      </w:r>
      <w:r w:rsidRPr="0058376C">
        <w:rPr>
          <w:sz w:val="28"/>
          <w:szCs w:val="28"/>
        </w:rPr>
        <w:t>.</w:t>
      </w:r>
      <w:r w:rsidR="00B4685A">
        <w:rPr>
          <w:sz w:val="28"/>
          <w:szCs w:val="28"/>
        </w:rPr>
        <w:t>0</w:t>
      </w:r>
      <w:r w:rsidR="0062724F">
        <w:rPr>
          <w:sz w:val="28"/>
          <w:szCs w:val="28"/>
        </w:rPr>
        <w:t>8</w:t>
      </w:r>
      <w:r w:rsidRPr="0058376C">
        <w:rPr>
          <w:sz w:val="28"/>
          <w:szCs w:val="28"/>
        </w:rPr>
        <w:t>.201</w:t>
      </w:r>
      <w:r w:rsidR="00B4685A"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по </w:t>
      </w:r>
      <w:r w:rsidR="0062724F">
        <w:rPr>
          <w:sz w:val="28"/>
          <w:szCs w:val="28"/>
        </w:rPr>
        <w:t>26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</w:t>
      </w:r>
      <w:r w:rsidR="0062724F">
        <w:rPr>
          <w:sz w:val="28"/>
          <w:szCs w:val="28"/>
        </w:rPr>
        <w:t>8</w:t>
      </w:r>
      <w:r w:rsidRPr="0058376C">
        <w:rPr>
          <w:sz w:val="28"/>
          <w:szCs w:val="28"/>
        </w:rPr>
        <w:t>.201</w:t>
      </w:r>
      <w:r w:rsidR="00751B20"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Pr="0058376C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58376C">
        <w:rPr>
          <w:sz w:val="28"/>
          <w:szCs w:val="28"/>
        </w:rPr>
        <w:t>нимателей в Ульяновской области,</w:t>
      </w:r>
      <w:r w:rsidRPr="0058376C">
        <w:rPr>
          <w:sz w:val="28"/>
          <w:szCs w:val="28"/>
        </w:rPr>
        <w:t xml:space="preserve"> муниципальные </w:t>
      </w:r>
      <w:r w:rsidR="009428DB" w:rsidRPr="0058376C">
        <w:rPr>
          <w:sz w:val="28"/>
          <w:szCs w:val="28"/>
        </w:rPr>
        <w:t>образования Ульяновской области</w:t>
      </w:r>
      <w:r w:rsidR="001131EE" w:rsidRPr="0058376C">
        <w:rPr>
          <w:sz w:val="28"/>
          <w:szCs w:val="28"/>
        </w:rPr>
        <w:t>.</w:t>
      </w:r>
      <w:proofErr w:type="gramEnd"/>
    </w:p>
    <w:p w:rsidR="009428DB" w:rsidRPr="001131EE" w:rsidRDefault="009428D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не поступало.</w:t>
      </w:r>
    </w:p>
    <w:p w:rsidR="004473E0" w:rsidRPr="000902C5" w:rsidRDefault="005109D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685A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62724F" w:rsidRDefault="0062724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A5B" w:rsidRPr="007648BA" w:rsidRDefault="001E7A5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62724F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636F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0636F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Р.Т.Давлятшин</w:t>
      </w:r>
      <w:proofErr w:type="spellEnd"/>
    </w:p>
    <w:p w:rsidR="0062724F" w:rsidRDefault="0062724F" w:rsidP="004F44D2">
      <w:pPr>
        <w:jc w:val="both"/>
        <w:rPr>
          <w:sz w:val="22"/>
          <w:szCs w:val="22"/>
        </w:rPr>
      </w:pPr>
    </w:p>
    <w:p w:rsidR="001E7A5B" w:rsidRDefault="001E7A5B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C4" w:rsidRDefault="000338C4">
      <w:r>
        <w:separator/>
      </w:r>
    </w:p>
  </w:endnote>
  <w:endnote w:type="continuationSeparator" w:id="0">
    <w:p w:rsidR="000338C4" w:rsidRDefault="0003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C4" w:rsidRDefault="000338C4">
      <w:r>
        <w:separator/>
      </w:r>
    </w:p>
  </w:footnote>
  <w:footnote w:type="continuationSeparator" w:id="0">
    <w:p w:rsidR="000338C4" w:rsidRDefault="0003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871">
      <w:rPr>
        <w:rStyle w:val="a7"/>
        <w:noProof/>
      </w:rPr>
      <w:t>5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6E4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38C4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06E2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A9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E7A5B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B8A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591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05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3857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1999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09"/>
    <w:rsid w:val="004B03EE"/>
    <w:rsid w:val="004B083E"/>
    <w:rsid w:val="004B0DA3"/>
    <w:rsid w:val="004B226A"/>
    <w:rsid w:val="004B229B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196C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2D7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6E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4F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254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935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3F53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36F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5F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3672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871"/>
    <w:rsid w:val="00D10F7B"/>
    <w:rsid w:val="00D11055"/>
    <w:rsid w:val="00D152CD"/>
    <w:rsid w:val="00D15A9B"/>
    <w:rsid w:val="00D173F5"/>
    <w:rsid w:val="00D17F74"/>
    <w:rsid w:val="00D2145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2EB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0EC2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A5CF-0F84-479C-A6B5-7C750167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4817</TotalTime>
  <Pages>5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12115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100</cp:revision>
  <cp:lastPrinted>2017-08-25T12:10:00Z</cp:lastPrinted>
  <dcterms:created xsi:type="dcterms:W3CDTF">2016-07-18T07:00:00Z</dcterms:created>
  <dcterms:modified xsi:type="dcterms:W3CDTF">2017-08-25T12:11:00Z</dcterms:modified>
</cp:coreProperties>
</file>